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986C6" w14:textId="0CA93738" w:rsidR="001B1E75" w:rsidRDefault="001B1E75" w:rsidP="001B1E75">
      <w:pPr>
        <w:rPr>
          <w:rFonts w:ascii="Arial" w:eastAsia="Times New Roman" w:hAnsi="Arial" w:cs="Arial"/>
          <w:b/>
          <w:bCs/>
          <w:sz w:val="27"/>
          <w:szCs w:val="27"/>
        </w:rPr>
      </w:pPr>
      <w:r>
        <w:rPr>
          <w:rFonts w:ascii="Arial" w:eastAsia="Times New Roman" w:hAnsi="Arial" w:cs="Arial"/>
          <w:b/>
          <w:bCs/>
          <w:sz w:val="27"/>
          <w:szCs w:val="27"/>
        </w:rPr>
        <w:t>Cari Studenti,</w:t>
      </w:r>
    </w:p>
    <w:p w14:paraId="52B80EEC" w14:textId="7260539D" w:rsidR="001B1E75" w:rsidRDefault="001B1E75" w:rsidP="001B1E75">
      <w:pPr>
        <w:rPr>
          <w:rFonts w:ascii="Arial" w:eastAsia="Times New Roman" w:hAnsi="Arial" w:cs="Arial"/>
          <w:b/>
          <w:bCs/>
          <w:sz w:val="27"/>
          <w:szCs w:val="27"/>
        </w:rPr>
      </w:pPr>
      <w:r>
        <w:rPr>
          <w:rFonts w:ascii="Arial" w:eastAsia="Times New Roman" w:hAnsi="Arial" w:cs="Arial"/>
          <w:b/>
          <w:bCs/>
          <w:sz w:val="27"/>
          <w:szCs w:val="27"/>
        </w:rPr>
        <w:tab/>
        <w:t>mercoledì alle 15 ci sarà un seminario internazionale (in inglese) sul tema “</w:t>
      </w:r>
      <w:r w:rsidRPr="001B1E75">
        <w:rPr>
          <w:rFonts w:ascii="Arial" w:eastAsia="Times New Roman" w:hAnsi="Arial" w:cs="Arial"/>
          <w:b/>
          <w:bCs/>
          <w:sz w:val="27"/>
          <w:szCs w:val="27"/>
        </w:rPr>
        <w:t xml:space="preserve">Brand </w:t>
      </w:r>
      <w:proofErr w:type="spellStart"/>
      <w:r w:rsidRPr="001B1E75">
        <w:rPr>
          <w:rFonts w:ascii="Arial" w:eastAsia="Times New Roman" w:hAnsi="Arial" w:cs="Arial"/>
          <w:b/>
          <w:bCs/>
          <w:sz w:val="27"/>
          <w:szCs w:val="27"/>
        </w:rPr>
        <w:t>protection</w:t>
      </w:r>
      <w:proofErr w:type="spellEnd"/>
      <w:r w:rsidRPr="001B1E75">
        <w:rPr>
          <w:rFonts w:ascii="Arial" w:eastAsia="Times New Roman" w:hAnsi="Arial" w:cs="Arial"/>
          <w:b/>
          <w:bCs/>
          <w:sz w:val="27"/>
          <w:szCs w:val="27"/>
        </w:rPr>
        <w:t xml:space="preserve"> online: global </w:t>
      </w:r>
      <w:proofErr w:type="spellStart"/>
      <w:r w:rsidRPr="001B1E75">
        <w:rPr>
          <w:rFonts w:ascii="Arial" w:eastAsia="Times New Roman" w:hAnsi="Arial" w:cs="Arial"/>
          <w:b/>
          <w:bCs/>
          <w:sz w:val="27"/>
          <w:szCs w:val="27"/>
        </w:rPr>
        <w:t>perspective</w:t>
      </w:r>
      <w:proofErr w:type="spellEnd"/>
      <w:r w:rsidRPr="001B1E75">
        <w:rPr>
          <w:rFonts w:ascii="Arial" w:eastAsia="Times New Roman" w:hAnsi="Arial" w:cs="Arial"/>
          <w:b/>
          <w:bCs/>
          <w:sz w:val="27"/>
          <w:szCs w:val="27"/>
        </w:rPr>
        <w:t>”</w:t>
      </w:r>
      <w:r>
        <w:rPr>
          <w:rFonts w:ascii="Arial" w:eastAsia="Times New Roman" w:hAnsi="Arial" w:cs="Arial"/>
          <w:b/>
          <w:bCs/>
          <w:sz w:val="27"/>
          <w:szCs w:val="27"/>
        </w:rPr>
        <w:t>. È organizzato da miei ex studenti del Master.</w:t>
      </w:r>
    </w:p>
    <w:p w14:paraId="51470865" w14:textId="718DE92F" w:rsidR="001B1E75" w:rsidRDefault="001B1E75" w:rsidP="001B1E75">
      <w:pPr>
        <w:rPr>
          <w:rFonts w:ascii="Arial" w:eastAsia="Times New Roman" w:hAnsi="Arial" w:cs="Arial"/>
          <w:b/>
          <w:bCs/>
          <w:sz w:val="27"/>
          <w:szCs w:val="27"/>
        </w:rPr>
      </w:pPr>
      <w:r>
        <w:rPr>
          <w:rFonts w:ascii="Arial" w:eastAsia="Times New Roman" w:hAnsi="Arial" w:cs="Arial"/>
          <w:b/>
          <w:bCs/>
          <w:sz w:val="27"/>
          <w:szCs w:val="27"/>
        </w:rPr>
        <w:tab/>
        <w:t>Io parlo alle 15.10. se vi interessa:</w:t>
      </w:r>
    </w:p>
    <w:p w14:paraId="6C379ED1" w14:textId="08944BD0" w:rsidR="001B1E75" w:rsidRDefault="001B1E75" w:rsidP="001B1E75">
      <w:pPr>
        <w:pStyle w:val="Paragrafoelenco"/>
        <w:numPr>
          <w:ilvl w:val="0"/>
          <w:numId w:val="2"/>
        </w:numPr>
        <w:rPr>
          <w:rFonts w:ascii="Arial" w:eastAsia="Times New Roman" w:hAnsi="Arial" w:cs="Arial"/>
          <w:b/>
          <w:bCs/>
          <w:sz w:val="27"/>
          <w:szCs w:val="27"/>
        </w:rPr>
      </w:pPr>
      <w:r>
        <w:rPr>
          <w:rFonts w:ascii="Arial" w:eastAsia="Times New Roman" w:hAnsi="Arial" w:cs="Arial"/>
          <w:b/>
          <w:bCs/>
          <w:sz w:val="27"/>
          <w:szCs w:val="27"/>
        </w:rPr>
        <w:t>Registratevi prima:</w:t>
      </w:r>
    </w:p>
    <w:p w14:paraId="290041A7" w14:textId="77777777" w:rsidR="001B1E75" w:rsidRPr="001B1E75" w:rsidRDefault="001B1E75" w:rsidP="001B1E75">
      <w:pPr>
        <w:pStyle w:val="Paragrafoelenco"/>
        <w:rPr>
          <w:rFonts w:eastAsia="Times New Roman"/>
        </w:rPr>
      </w:pPr>
      <w:proofErr w:type="spellStart"/>
      <w:r w:rsidRPr="001B1E75">
        <w:rPr>
          <w:rFonts w:ascii="Arial" w:eastAsia="Times New Roman" w:hAnsi="Arial" w:cs="Arial"/>
          <w:b/>
          <w:bCs/>
          <w:sz w:val="27"/>
          <w:szCs w:val="27"/>
        </w:rPr>
        <w:t>Register</w:t>
      </w:r>
      <w:proofErr w:type="spellEnd"/>
      <w:r w:rsidRPr="001B1E75">
        <w:rPr>
          <w:rFonts w:ascii="Arial" w:eastAsia="Times New Roman" w:hAnsi="Arial" w:cs="Arial"/>
          <w:b/>
          <w:bCs/>
          <w:sz w:val="27"/>
          <w:szCs w:val="27"/>
        </w:rPr>
        <w:t xml:space="preserve"> </w:t>
      </w:r>
      <w:proofErr w:type="spellStart"/>
      <w:r w:rsidRPr="001B1E75">
        <w:rPr>
          <w:rFonts w:ascii="Arial" w:eastAsia="Times New Roman" w:hAnsi="Arial" w:cs="Arial"/>
          <w:b/>
          <w:bCs/>
          <w:sz w:val="27"/>
          <w:szCs w:val="27"/>
        </w:rPr>
        <w:t>Now</w:t>
      </w:r>
      <w:proofErr w:type="spellEnd"/>
      <w:r w:rsidRPr="001B1E75">
        <w:rPr>
          <w:rFonts w:ascii="Arial" w:eastAsia="Times New Roman" w:hAnsi="Arial" w:cs="Arial"/>
          <w:b/>
          <w:bCs/>
          <w:sz w:val="27"/>
          <w:szCs w:val="27"/>
        </w:rPr>
        <w:t> </w:t>
      </w:r>
    </w:p>
    <w:p w14:paraId="09E36D7A" w14:textId="1B3D7190" w:rsidR="001B1E75" w:rsidRPr="001B1E75" w:rsidRDefault="001B1E75" w:rsidP="001B1E75">
      <w:pPr>
        <w:pStyle w:val="Paragrafoelenco"/>
        <w:rPr>
          <w:rFonts w:eastAsia="Times New Roman"/>
        </w:rPr>
      </w:pPr>
      <w:hyperlink r:id="rId7" w:history="1">
        <w:r w:rsidRPr="002E6441">
          <w:rPr>
            <w:rStyle w:val="Collegamentoipertestuale"/>
            <w:rFonts w:eastAsia="Times New Roman"/>
            <w:b/>
            <w:bCs/>
          </w:rPr>
          <w:t>https://forms.gle/7VL7dBcgoUXoJuv9A</w:t>
        </w:r>
      </w:hyperlink>
    </w:p>
    <w:p w14:paraId="74EB9192" w14:textId="76644908" w:rsidR="001B1E75" w:rsidRPr="001B1E75" w:rsidRDefault="001B1E75" w:rsidP="001B1E75">
      <w:pPr>
        <w:pStyle w:val="Paragrafoelenco"/>
        <w:rPr>
          <w:rFonts w:eastAsia="Times New Roman"/>
          <w:lang w:val="en-US"/>
        </w:rPr>
      </w:pPr>
      <w:r w:rsidRPr="001B1E75">
        <w:rPr>
          <w:rFonts w:eastAsia="Times New Roman"/>
          <w:lang w:val="en-US"/>
        </w:rPr>
        <w:t xml:space="preserve">fill in the form and register before the </w:t>
      </w:r>
      <w:proofErr w:type="gramStart"/>
      <w:r w:rsidRPr="001B1E75">
        <w:rPr>
          <w:rFonts w:eastAsia="Times New Roman"/>
          <w:lang w:val="en-US"/>
        </w:rPr>
        <w:t>event</w:t>
      </w:r>
      <w:proofErr w:type="gramEnd"/>
    </w:p>
    <w:p w14:paraId="3C2D180B" w14:textId="77777777" w:rsidR="001B1E75" w:rsidRPr="001B1E75" w:rsidRDefault="001B1E75" w:rsidP="001B1E75">
      <w:pPr>
        <w:pStyle w:val="Paragrafoelenco"/>
        <w:rPr>
          <w:rFonts w:ascii="Arial" w:eastAsia="Times New Roman" w:hAnsi="Arial" w:cs="Arial"/>
          <w:b/>
          <w:bCs/>
          <w:sz w:val="27"/>
          <w:szCs w:val="27"/>
          <w:lang w:val="en-US"/>
        </w:rPr>
      </w:pPr>
    </w:p>
    <w:p w14:paraId="18830615" w14:textId="10987CF2" w:rsidR="001B1E75" w:rsidRPr="001B1E75" w:rsidRDefault="001B1E75" w:rsidP="001B1E75">
      <w:pPr>
        <w:pStyle w:val="Paragrafoelenco"/>
        <w:numPr>
          <w:ilvl w:val="0"/>
          <w:numId w:val="2"/>
        </w:numPr>
        <w:rPr>
          <w:rFonts w:ascii="Arial" w:eastAsia="Times New Roman" w:hAnsi="Arial" w:cs="Arial"/>
          <w:b/>
          <w:bCs/>
          <w:sz w:val="27"/>
          <w:szCs w:val="27"/>
          <w:lang w:val="en-US"/>
        </w:rPr>
      </w:pPr>
      <w:r>
        <w:rPr>
          <w:rFonts w:ascii="Arial" w:eastAsia="Times New Roman" w:hAnsi="Arial" w:cs="Arial"/>
          <w:b/>
          <w:bCs/>
          <w:sz w:val="27"/>
          <w:szCs w:val="27"/>
          <w:lang w:val="en-US"/>
        </w:rPr>
        <w:t xml:space="preserve">Al </w:t>
      </w:r>
      <w:proofErr w:type="spellStart"/>
      <w:r>
        <w:rPr>
          <w:rFonts w:ascii="Arial" w:eastAsia="Times New Roman" w:hAnsi="Arial" w:cs="Arial"/>
          <w:b/>
          <w:bCs/>
          <w:sz w:val="27"/>
          <w:szCs w:val="27"/>
          <w:lang w:val="en-US"/>
        </w:rPr>
        <w:t>momento</w:t>
      </w:r>
      <w:proofErr w:type="spellEnd"/>
      <w:r>
        <w:rPr>
          <w:rFonts w:ascii="Arial" w:eastAsia="Times New Roman" w:hAnsi="Arial" w:cs="Arial"/>
          <w:b/>
          <w:bCs/>
          <w:sz w:val="27"/>
          <w:szCs w:val="27"/>
          <w:lang w:val="en-US"/>
        </w:rPr>
        <w:t xml:space="preserve"> </w:t>
      </w:r>
      <w:proofErr w:type="spellStart"/>
      <w:r>
        <w:rPr>
          <w:rFonts w:ascii="Arial" w:eastAsia="Times New Roman" w:hAnsi="Arial" w:cs="Arial"/>
          <w:b/>
          <w:bCs/>
          <w:sz w:val="27"/>
          <w:szCs w:val="27"/>
          <w:lang w:val="en-US"/>
        </w:rPr>
        <w:t>linkatevi</w:t>
      </w:r>
      <w:proofErr w:type="spellEnd"/>
      <w:r>
        <w:rPr>
          <w:rFonts w:ascii="Arial" w:eastAsia="Times New Roman" w:hAnsi="Arial" w:cs="Arial"/>
          <w:b/>
          <w:bCs/>
          <w:sz w:val="27"/>
          <w:szCs w:val="27"/>
          <w:lang w:val="en-US"/>
        </w:rPr>
        <w:t xml:space="preserve"> qui</w:t>
      </w:r>
    </w:p>
    <w:p w14:paraId="359E7569" w14:textId="37777CE9" w:rsidR="001B1E75" w:rsidRPr="001B1E75" w:rsidRDefault="001B1E75" w:rsidP="001B1E75">
      <w:pPr>
        <w:rPr>
          <w:rFonts w:eastAsia="Times New Roman"/>
          <w:lang w:val="en-US"/>
        </w:rPr>
      </w:pPr>
      <w:r>
        <w:rPr>
          <w:rFonts w:ascii="Arial" w:eastAsia="Times New Roman" w:hAnsi="Arial" w:cs="Arial"/>
          <w:b/>
          <w:bCs/>
          <w:sz w:val="27"/>
          <w:szCs w:val="27"/>
          <w:lang w:val="en-US"/>
        </w:rPr>
        <w:t>J</w:t>
      </w:r>
      <w:r w:rsidRPr="001B1E75">
        <w:rPr>
          <w:rFonts w:ascii="Arial" w:eastAsia="Times New Roman" w:hAnsi="Arial" w:cs="Arial"/>
          <w:b/>
          <w:bCs/>
          <w:sz w:val="27"/>
          <w:szCs w:val="27"/>
          <w:lang w:val="en-US"/>
        </w:rPr>
        <w:t>oin Zoom Meeting </w:t>
      </w:r>
    </w:p>
    <w:p w14:paraId="1B0B121E" w14:textId="77777777" w:rsidR="001B1E75" w:rsidRPr="001B1E75" w:rsidRDefault="001B1E75" w:rsidP="001B1E75">
      <w:pPr>
        <w:rPr>
          <w:rFonts w:eastAsia="Times New Roman"/>
          <w:lang w:val="en-US"/>
        </w:rPr>
      </w:pPr>
      <w:hyperlink r:id="rId8" w:tgtFrame="_blank" w:tooltip="us02web.zoom.us" w:history="1">
        <w:r w:rsidRPr="001B1E75">
          <w:rPr>
            <w:rStyle w:val="Collegamentoipertestuale"/>
            <w:rFonts w:eastAsia="Times New Roman"/>
            <w:b/>
            <w:bCs/>
            <w:lang w:val="en-US"/>
          </w:rPr>
          <w:t>https://us02web.zoom.us/j/84764524831</w:t>
        </w:r>
      </w:hyperlink>
    </w:p>
    <w:p w14:paraId="12C2BBA1" w14:textId="77777777" w:rsidR="001B1E75" w:rsidRPr="001B1E75" w:rsidRDefault="001B1E75" w:rsidP="001B1E75">
      <w:pPr>
        <w:rPr>
          <w:rFonts w:eastAsia="Times New Roman"/>
          <w:lang w:val="en-US"/>
        </w:rPr>
      </w:pPr>
      <w:r w:rsidRPr="001B1E75">
        <w:rPr>
          <w:rFonts w:eastAsia="Times New Roman"/>
          <w:lang w:val="en-US"/>
        </w:rPr>
        <w:t>Meeting ID: 847 6452 4831</w:t>
      </w:r>
    </w:p>
    <w:p w14:paraId="53A4C1D7" w14:textId="77777777" w:rsidR="001B1E75" w:rsidRPr="001B1E75" w:rsidRDefault="001B1E75" w:rsidP="001B1E75">
      <w:pPr>
        <w:rPr>
          <w:rFonts w:eastAsia="Times New Roman"/>
          <w:lang w:val="en-US"/>
        </w:rPr>
      </w:pPr>
      <w:r w:rsidRPr="001B1E75">
        <w:rPr>
          <w:rFonts w:eastAsia="Times New Roman"/>
          <w:lang w:val="en-US"/>
        </w:rPr>
        <w:t>Find your local number: </w:t>
      </w:r>
      <w:hyperlink r:id="rId9" w:tooltip="us02web.zoom.us" w:history="1">
        <w:r w:rsidRPr="001B1E75">
          <w:rPr>
            <w:rStyle w:val="Collegamentoipertestuale"/>
            <w:rFonts w:eastAsia="Times New Roman"/>
            <w:lang w:val="en-US"/>
          </w:rPr>
          <w:t>https://us02web.zoom.us/u/kcjaR1Xhbb</w:t>
        </w:r>
      </w:hyperlink>
    </w:p>
    <w:p w14:paraId="5341FCA1" w14:textId="77777777" w:rsidR="001B1E75" w:rsidRDefault="001B1E75">
      <w:pPr>
        <w:rPr>
          <w:rFonts w:ascii="Times New Roman" w:hAnsi="Times New Roman" w:cs="Times New Roman"/>
          <w:b/>
          <w:sz w:val="24"/>
          <w:szCs w:val="24"/>
          <w:lang w:val="en-US"/>
        </w:rPr>
      </w:pPr>
    </w:p>
    <w:p w14:paraId="1165AA33" w14:textId="44D24F88" w:rsidR="00A77448" w:rsidRDefault="00A77448">
      <w:pPr>
        <w:rPr>
          <w:rFonts w:ascii="Times New Roman" w:hAnsi="Times New Roman" w:cs="Times New Roman"/>
          <w:b/>
          <w:sz w:val="24"/>
          <w:szCs w:val="24"/>
          <w:lang w:val="en-US"/>
        </w:rPr>
      </w:pPr>
      <w:r>
        <w:rPr>
          <w:rFonts w:ascii="Times New Roman" w:hAnsi="Times New Roman" w:cs="Times New Roman"/>
          <w:b/>
          <w:sz w:val="24"/>
          <w:szCs w:val="24"/>
          <w:lang w:val="en-US"/>
        </w:rPr>
        <w:t xml:space="preserve">Trademarks &amp; the internet: </w:t>
      </w:r>
      <w:proofErr w:type="gramStart"/>
      <w:r>
        <w:rPr>
          <w:rFonts w:ascii="Times New Roman" w:hAnsi="Times New Roman" w:cs="Times New Roman"/>
          <w:b/>
          <w:sz w:val="24"/>
          <w:szCs w:val="24"/>
          <w:lang w:val="en-US"/>
        </w:rPr>
        <w:t>the</w:t>
      </w:r>
      <w:proofErr w:type="gramEnd"/>
      <w:r>
        <w:rPr>
          <w:rFonts w:ascii="Times New Roman" w:hAnsi="Times New Roman" w:cs="Times New Roman"/>
          <w:b/>
          <w:sz w:val="24"/>
          <w:szCs w:val="24"/>
          <w:lang w:val="en-US"/>
        </w:rPr>
        <w:t xml:space="preserve"> Present and the Future </w:t>
      </w:r>
    </w:p>
    <w:p w14:paraId="136D5B48" w14:textId="043F13DD" w:rsidR="00A77448" w:rsidRDefault="00A77448">
      <w:pPr>
        <w:rPr>
          <w:rFonts w:ascii="Times New Roman" w:hAnsi="Times New Roman" w:cs="Times New Roman"/>
          <w:b/>
          <w:sz w:val="24"/>
          <w:szCs w:val="24"/>
          <w:lang w:val="en-US"/>
        </w:rPr>
      </w:pPr>
      <w:r>
        <w:rPr>
          <w:rFonts w:ascii="Times New Roman" w:hAnsi="Times New Roman" w:cs="Times New Roman"/>
          <w:b/>
          <w:sz w:val="24"/>
          <w:szCs w:val="24"/>
          <w:lang w:val="en-US"/>
        </w:rPr>
        <w:t xml:space="preserve">the Triumph of Anarchism or Total Control? </w:t>
      </w:r>
      <w:proofErr w:type="gramStart"/>
      <w:r>
        <w:rPr>
          <w:rFonts w:ascii="Times New Roman" w:hAnsi="Times New Roman" w:cs="Times New Roman"/>
          <w:b/>
          <w:sz w:val="24"/>
          <w:szCs w:val="24"/>
          <w:lang w:val="en-US"/>
        </w:rPr>
        <w:t>Yes</w:t>
      </w:r>
      <w:proofErr w:type="gramEnd"/>
      <w:r>
        <w:rPr>
          <w:rFonts w:ascii="Times New Roman" w:hAnsi="Times New Roman" w:cs="Times New Roman"/>
          <w:b/>
          <w:sz w:val="24"/>
          <w:szCs w:val="24"/>
          <w:lang w:val="en-US"/>
        </w:rPr>
        <w:t xml:space="preserve"> but then I miss the bread and butter issues </w:t>
      </w:r>
    </w:p>
    <w:p w14:paraId="099F29C4" w14:textId="64778217" w:rsidR="00A77448" w:rsidRDefault="00A77448">
      <w:pPr>
        <w:rPr>
          <w:rFonts w:ascii="Times New Roman" w:hAnsi="Times New Roman" w:cs="Times New Roman"/>
          <w:b/>
          <w:sz w:val="24"/>
          <w:szCs w:val="24"/>
          <w:lang w:val="en-US"/>
        </w:rPr>
      </w:pPr>
      <w:r>
        <w:rPr>
          <w:rFonts w:ascii="Times New Roman" w:hAnsi="Times New Roman" w:cs="Times New Roman"/>
          <w:b/>
          <w:sz w:val="24"/>
          <w:szCs w:val="24"/>
          <w:lang w:val="en-US"/>
        </w:rPr>
        <w:t xml:space="preserve">[from a personal perspective: </w:t>
      </w:r>
      <w:proofErr w:type="spellStart"/>
      <w:r>
        <w:rPr>
          <w:rFonts w:ascii="Times New Roman" w:hAnsi="Times New Roman" w:cs="Times New Roman"/>
          <w:b/>
          <w:sz w:val="24"/>
          <w:szCs w:val="24"/>
          <w:lang w:val="en-US"/>
        </w:rPr>
        <w:t>i</w:t>
      </w:r>
      <w:proofErr w:type="spellEnd"/>
      <w:r>
        <w:rPr>
          <w:rFonts w:ascii="Times New Roman" w:hAnsi="Times New Roman" w:cs="Times New Roman"/>
          <w:b/>
          <w:sz w:val="24"/>
          <w:szCs w:val="24"/>
          <w:lang w:val="en-US"/>
        </w:rPr>
        <w:t xml:space="preserve">. Mutilated; &amp; ii. </w:t>
      </w:r>
      <w:proofErr w:type="spellStart"/>
      <w:r>
        <w:rPr>
          <w:rFonts w:ascii="Times New Roman" w:hAnsi="Times New Roman" w:cs="Times New Roman"/>
          <w:b/>
          <w:sz w:val="24"/>
          <w:szCs w:val="24"/>
          <w:lang w:val="en-US"/>
        </w:rPr>
        <w:t>teching</w:t>
      </w:r>
      <w:proofErr w:type="spellEnd"/>
      <w:r>
        <w:rPr>
          <w:rFonts w:ascii="Times New Roman" w:hAnsi="Times New Roman" w:cs="Times New Roman"/>
          <w:b/>
          <w:sz w:val="24"/>
          <w:szCs w:val="24"/>
          <w:lang w:val="en-US"/>
        </w:rPr>
        <w:t xml:space="preserve"> by learning]</w:t>
      </w:r>
    </w:p>
    <w:p w14:paraId="01626469" w14:textId="75748DB5" w:rsidR="001F5839" w:rsidRDefault="00523ECC">
      <w:pPr>
        <w:rPr>
          <w:rFonts w:ascii="Times New Roman" w:hAnsi="Times New Roman" w:cs="Times New Roman"/>
          <w:b/>
          <w:sz w:val="24"/>
          <w:szCs w:val="24"/>
          <w:lang w:val="en-US"/>
        </w:rPr>
      </w:pPr>
      <w:r w:rsidRPr="00644D93">
        <w:rPr>
          <w:rFonts w:ascii="Times New Roman" w:hAnsi="Times New Roman" w:cs="Times New Roman"/>
          <w:b/>
          <w:sz w:val="24"/>
          <w:szCs w:val="24"/>
          <w:lang w:val="en-US"/>
        </w:rPr>
        <w:t xml:space="preserve">brand protection </w:t>
      </w:r>
      <w:proofErr w:type="gramStart"/>
      <w:r w:rsidRPr="00644D93">
        <w:rPr>
          <w:rFonts w:ascii="Times New Roman" w:hAnsi="Times New Roman" w:cs="Times New Roman"/>
          <w:b/>
          <w:sz w:val="24"/>
          <w:szCs w:val="24"/>
          <w:lang w:val="en-US"/>
        </w:rPr>
        <w:t>on line</w:t>
      </w:r>
      <w:proofErr w:type="gramEnd"/>
      <w:r w:rsidRPr="00644D93">
        <w:rPr>
          <w:rFonts w:ascii="Times New Roman" w:hAnsi="Times New Roman" w:cs="Times New Roman"/>
          <w:b/>
          <w:sz w:val="24"/>
          <w:szCs w:val="24"/>
          <w:lang w:val="en-US"/>
        </w:rPr>
        <w:t>: a global perspective</w:t>
      </w:r>
      <w:r>
        <w:rPr>
          <w:rFonts w:ascii="Times New Roman" w:hAnsi="Times New Roman" w:cs="Times New Roman"/>
          <w:b/>
          <w:sz w:val="24"/>
          <w:szCs w:val="24"/>
          <w:lang w:val="en-US"/>
        </w:rPr>
        <w:t xml:space="preserve"> </w:t>
      </w:r>
    </w:p>
    <w:p w14:paraId="494F03D2" w14:textId="77777777" w:rsidR="00423114" w:rsidRDefault="00423114">
      <w:pPr>
        <w:rPr>
          <w:rFonts w:ascii="Times New Roman" w:hAnsi="Times New Roman" w:cs="Times New Roman"/>
          <w:b/>
          <w:sz w:val="24"/>
          <w:szCs w:val="24"/>
          <w:lang w:val="en-US"/>
        </w:rPr>
      </w:pPr>
      <w:r>
        <w:rPr>
          <w:rFonts w:ascii="Times New Roman" w:hAnsi="Times New Roman" w:cs="Times New Roman"/>
          <w:b/>
          <w:sz w:val="24"/>
          <w:szCs w:val="24"/>
          <w:lang w:val="en-US"/>
        </w:rPr>
        <w:t>my perspective: mutilated</w:t>
      </w:r>
    </w:p>
    <w:p w14:paraId="5F706724" w14:textId="77777777" w:rsidR="00423114" w:rsidRDefault="00423114">
      <w:pPr>
        <w:rPr>
          <w:rFonts w:ascii="Times New Roman" w:hAnsi="Times New Roman" w:cs="Times New Roman"/>
          <w:b/>
          <w:sz w:val="24"/>
          <w:szCs w:val="24"/>
          <w:lang w:val="en-US"/>
        </w:rPr>
      </w:pPr>
      <w:r>
        <w:rPr>
          <w:rFonts w:ascii="Times New Roman" w:hAnsi="Times New Roman" w:cs="Times New Roman"/>
          <w:b/>
          <w:sz w:val="24"/>
          <w:szCs w:val="24"/>
          <w:lang w:val="en-US"/>
        </w:rPr>
        <w:t>learning from my students and younger colleagues: Igor, cryptography; Julius Caesar and all that, but</w:t>
      </w:r>
    </w:p>
    <w:p w14:paraId="7154D7FE" w14:textId="7631AF89" w:rsidR="00523ECC" w:rsidRDefault="00523ECC">
      <w:pPr>
        <w:rPr>
          <w:rFonts w:ascii="Times New Roman" w:hAnsi="Times New Roman" w:cs="Times New Roman"/>
          <w:b/>
          <w:sz w:val="24"/>
          <w:szCs w:val="24"/>
          <w:lang w:val="en-US"/>
        </w:rPr>
      </w:pPr>
      <w:r>
        <w:rPr>
          <w:rFonts w:ascii="Times New Roman" w:hAnsi="Times New Roman" w:cs="Times New Roman"/>
          <w:b/>
          <w:sz w:val="24"/>
          <w:szCs w:val="24"/>
          <w:lang w:val="en-US"/>
        </w:rPr>
        <w:t xml:space="preserve">yes of course, Danny </w:t>
      </w:r>
      <w:proofErr w:type="gramStart"/>
      <w:r>
        <w:rPr>
          <w:rFonts w:ascii="Times New Roman" w:hAnsi="Times New Roman" w:cs="Times New Roman"/>
          <w:b/>
          <w:sz w:val="24"/>
          <w:szCs w:val="24"/>
          <w:lang w:val="en-US"/>
        </w:rPr>
        <w:t>Friedman;</w:t>
      </w:r>
      <w:proofErr w:type="gramEnd"/>
    </w:p>
    <w:p w14:paraId="27E3910E" w14:textId="49BBA572" w:rsidR="00523ECC" w:rsidRDefault="00523ECC">
      <w:pPr>
        <w:rPr>
          <w:rFonts w:ascii="Times New Roman" w:hAnsi="Times New Roman" w:cs="Times New Roman"/>
          <w:b/>
          <w:sz w:val="24"/>
          <w:szCs w:val="24"/>
          <w:lang w:val="en-US"/>
        </w:rPr>
      </w:pPr>
      <w:r>
        <w:rPr>
          <w:rFonts w:ascii="Times New Roman" w:hAnsi="Times New Roman" w:cs="Times New Roman"/>
          <w:b/>
          <w:sz w:val="24"/>
          <w:szCs w:val="24"/>
          <w:lang w:val="en-US"/>
        </w:rPr>
        <w:t>and the time has come to look again at § 8-</w:t>
      </w:r>
      <w:proofErr w:type="gramStart"/>
      <w:r>
        <w:rPr>
          <w:rFonts w:ascii="Times New Roman" w:hAnsi="Times New Roman" w:cs="Times New Roman"/>
          <w:b/>
          <w:sz w:val="24"/>
          <w:szCs w:val="24"/>
          <w:lang w:val="en-US"/>
        </w:rPr>
        <w:t>bis</w:t>
      </w:r>
      <w:proofErr w:type="gramEnd"/>
    </w:p>
    <w:p w14:paraId="3EC6E0C7" w14:textId="5014E5C0" w:rsidR="00523ECC" w:rsidRPr="00931A21" w:rsidRDefault="00931A21" w:rsidP="00931A21">
      <w:pPr>
        <w:pStyle w:val="Paragrafoelenco"/>
        <w:numPr>
          <w:ilvl w:val="0"/>
          <w:numId w:val="1"/>
        </w:numPr>
        <w:rPr>
          <w:rFonts w:ascii="Times New Roman" w:hAnsi="Times New Roman" w:cs="Times New Roman"/>
          <w:b/>
          <w:sz w:val="24"/>
          <w:szCs w:val="24"/>
          <w:lang w:val="en-US"/>
        </w:rPr>
      </w:pPr>
      <w:r>
        <w:rPr>
          <w:rFonts w:ascii="Times New Roman" w:hAnsi="Times New Roman" w:cs="Times New Roman"/>
          <w:b/>
          <w:sz w:val="24"/>
          <w:szCs w:val="24"/>
          <w:lang w:val="en-US"/>
        </w:rPr>
        <w:t xml:space="preserve">The Present: </w:t>
      </w:r>
      <w:r w:rsidRPr="00931A21">
        <w:rPr>
          <w:rFonts w:ascii="Times New Roman" w:hAnsi="Times New Roman" w:cs="Times New Roman"/>
          <w:b/>
          <w:sz w:val="24"/>
          <w:szCs w:val="24"/>
          <w:lang w:val="en-US"/>
        </w:rPr>
        <w:t>the recurring issues: [always starting from a case]</w:t>
      </w:r>
    </w:p>
    <w:p w14:paraId="0C92C136" w14:textId="1492015F" w:rsidR="00931A21" w:rsidRPr="00931A21" w:rsidRDefault="00931A21" w:rsidP="00931A21">
      <w:pPr>
        <w:pStyle w:val="Paragrafoelenco"/>
        <w:numPr>
          <w:ilvl w:val="1"/>
          <w:numId w:val="1"/>
        </w:numPr>
        <w:rPr>
          <w:rFonts w:ascii="Times New Roman" w:hAnsi="Times New Roman" w:cs="Times New Roman"/>
          <w:b/>
          <w:sz w:val="24"/>
          <w:szCs w:val="24"/>
          <w:lang w:val="en-US"/>
        </w:rPr>
      </w:pPr>
      <w:r w:rsidRPr="00931A21">
        <w:rPr>
          <w:rFonts w:ascii="Times New Roman" w:hAnsi="Times New Roman" w:cs="Times New Roman"/>
          <w:b/>
          <w:sz w:val="24"/>
          <w:szCs w:val="24"/>
          <w:lang w:val="en-US"/>
        </w:rPr>
        <w:t xml:space="preserve">jurisdiction, applicable law AMS, </w:t>
      </w:r>
      <w:proofErr w:type="spellStart"/>
      <w:r w:rsidRPr="00931A21">
        <w:rPr>
          <w:rFonts w:ascii="Times New Roman" w:hAnsi="Times New Roman" w:cs="Times New Roman"/>
          <w:b/>
          <w:sz w:val="24"/>
          <w:szCs w:val="24"/>
          <w:lang w:val="en-US"/>
        </w:rPr>
        <w:t>Wintersteiger</w:t>
      </w:r>
      <w:proofErr w:type="spellEnd"/>
      <w:r w:rsidRPr="00931A21">
        <w:rPr>
          <w:rFonts w:ascii="Times New Roman" w:hAnsi="Times New Roman" w:cs="Times New Roman"/>
          <w:b/>
          <w:sz w:val="24"/>
          <w:szCs w:val="24"/>
          <w:lang w:val="en-US"/>
        </w:rPr>
        <w:t>, Donner</w:t>
      </w:r>
    </w:p>
    <w:p w14:paraId="404B5335" w14:textId="1BE050C2" w:rsidR="00931A21" w:rsidRPr="00931A21" w:rsidRDefault="00931A21" w:rsidP="00931A21">
      <w:pPr>
        <w:pStyle w:val="Paragrafoelenco"/>
        <w:numPr>
          <w:ilvl w:val="1"/>
          <w:numId w:val="1"/>
        </w:numPr>
        <w:rPr>
          <w:rFonts w:ascii="Times New Roman" w:hAnsi="Times New Roman" w:cs="Times New Roman"/>
          <w:b/>
          <w:sz w:val="24"/>
          <w:szCs w:val="24"/>
          <w:lang w:val="en-US"/>
        </w:rPr>
      </w:pPr>
      <w:r w:rsidRPr="00931A21">
        <w:rPr>
          <w:rFonts w:ascii="Times New Roman" w:hAnsi="Times New Roman" w:cs="Times New Roman"/>
          <w:b/>
          <w:sz w:val="24"/>
          <w:szCs w:val="24"/>
          <w:lang w:val="en-US"/>
        </w:rPr>
        <w:t xml:space="preserve">ISP liability: L’Oréal and </w:t>
      </w:r>
      <w:proofErr w:type="spellStart"/>
      <w:r w:rsidRPr="00931A21">
        <w:rPr>
          <w:rFonts w:ascii="Times New Roman" w:hAnsi="Times New Roman" w:cs="Times New Roman"/>
          <w:b/>
          <w:sz w:val="24"/>
          <w:szCs w:val="24"/>
          <w:lang w:val="en-US"/>
        </w:rPr>
        <w:t>Piezsek</w:t>
      </w:r>
      <w:proofErr w:type="spellEnd"/>
      <w:r w:rsidRPr="00931A21">
        <w:rPr>
          <w:rFonts w:ascii="Times New Roman" w:hAnsi="Times New Roman" w:cs="Times New Roman"/>
          <w:b/>
          <w:sz w:val="24"/>
          <w:szCs w:val="24"/>
          <w:lang w:val="en-US"/>
        </w:rPr>
        <w:t xml:space="preserve"> </w:t>
      </w:r>
    </w:p>
    <w:p w14:paraId="0786DEA6" w14:textId="5724940B" w:rsidR="00931A21" w:rsidRDefault="00931A21" w:rsidP="00931A21">
      <w:pPr>
        <w:pStyle w:val="Paragrafoelenco"/>
        <w:numPr>
          <w:ilvl w:val="1"/>
          <w:numId w:val="1"/>
        </w:numPr>
        <w:rPr>
          <w:rFonts w:ascii="Times New Roman" w:hAnsi="Times New Roman" w:cs="Times New Roman"/>
          <w:b/>
          <w:sz w:val="24"/>
          <w:szCs w:val="24"/>
          <w:lang w:val="en-US"/>
        </w:rPr>
      </w:pPr>
      <w:r w:rsidRPr="00931A21">
        <w:rPr>
          <w:rFonts w:ascii="Times New Roman" w:hAnsi="Times New Roman" w:cs="Times New Roman"/>
          <w:b/>
          <w:sz w:val="24"/>
          <w:szCs w:val="24"/>
          <w:lang w:val="en-US"/>
        </w:rPr>
        <w:t xml:space="preserve">Private/commercial: </w:t>
      </w:r>
      <w:proofErr w:type="spellStart"/>
      <w:r w:rsidRPr="00931A21">
        <w:rPr>
          <w:rFonts w:ascii="Times New Roman" w:hAnsi="Times New Roman" w:cs="Times New Roman"/>
          <w:b/>
          <w:sz w:val="24"/>
          <w:szCs w:val="24"/>
          <w:lang w:val="en-US"/>
        </w:rPr>
        <w:t>Fedez</w:t>
      </w:r>
      <w:proofErr w:type="spellEnd"/>
      <w:r w:rsidRPr="00931A21">
        <w:rPr>
          <w:rFonts w:ascii="Times New Roman" w:hAnsi="Times New Roman" w:cs="Times New Roman"/>
          <w:b/>
          <w:sz w:val="24"/>
          <w:szCs w:val="24"/>
          <w:lang w:val="en-US"/>
        </w:rPr>
        <w:t xml:space="preserve">, </w:t>
      </w:r>
      <w:proofErr w:type="spellStart"/>
      <w:r w:rsidRPr="00931A21">
        <w:rPr>
          <w:rFonts w:ascii="Times New Roman" w:hAnsi="Times New Roman" w:cs="Times New Roman"/>
          <w:b/>
          <w:sz w:val="24"/>
          <w:szCs w:val="24"/>
          <w:lang w:val="en-US"/>
        </w:rPr>
        <w:t>Ferragnez</w:t>
      </w:r>
      <w:proofErr w:type="spellEnd"/>
    </w:p>
    <w:p w14:paraId="31505DD6" w14:textId="401772CF" w:rsidR="00931A21" w:rsidRDefault="00931A21" w:rsidP="00931A21">
      <w:pPr>
        <w:pStyle w:val="Paragrafoelenco"/>
        <w:numPr>
          <w:ilvl w:val="1"/>
          <w:numId w:val="1"/>
        </w:numPr>
        <w:rPr>
          <w:rFonts w:ascii="Times New Roman" w:hAnsi="Times New Roman" w:cs="Times New Roman"/>
          <w:b/>
          <w:sz w:val="24"/>
          <w:szCs w:val="24"/>
          <w:lang w:val="en-US"/>
        </w:rPr>
      </w:pPr>
      <w:r>
        <w:rPr>
          <w:rFonts w:ascii="Times New Roman" w:hAnsi="Times New Roman" w:cs="Times New Roman"/>
          <w:b/>
          <w:sz w:val="24"/>
          <w:szCs w:val="24"/>
          <w:lang w:val="en-US"/>
        </w:rPr>
        <w:t>The increasing role of private ordering:</w:t>
      </w:r>
    </w:p>
    <w:p w14:paraId="79F81B25" w14:textId="0838806D" w:rsidR="00931A21" w:rsidRDefault="00931A21" w:rsidP="00931A21">
      <w:pPr>
        <w:pStyle w:val="Paragrafoelenco"/>
        <w:numPr>
          <w:ilvl w:val="1"/>
          <w:numId w:val="1"/>
        </w:numPr>
        <w:rPr>
          <w:rFonts w:ascii="Times New Roman" w:hAnsi="Times New Roman" w:cs="Times New Roman"/>
          <w:b/>
          <w:sz w:val="24"/>
          <w:szCs w:val="24"/>
          <w:lang w:val="en-US"/>
        </w:rPr>
      </w:pPr>
      <w:r>
        <w:rPr>
          <w:rFonts w:ascii="Times New Roman" w:hAnsi="Times New Roman" w:cs="Times New Roman"/>
          <w:b/>
          <w:sz w:val="24"/>
          <w:szCs w:val="24"/>
          <w:lang w:val="en-US"/>
        </w:rPr>
        <w:t>Infringement standards: Lavazza/</w:t>
      </w:r>
      <w:proofErr w:type="spellStart"/>
      <w:r>
        <w:rPr>
          <w:rFonts w:ascii="Times New Roman" w:hAnsi="Times New Roman" w:cs="Times New Roman"/>
          <w:b/>
          <w:sz w:val="24"/>
          <w:szCs w:val="24"/>
          <w:lang w:val="en-US"/>
        </w:rPr>
        <w:t>Borbone</w:t>
      </w:r>
      <w:proofErr w:type="spellEnd"/>
      <w:r>
        <w:rPr>
          <w:rFonts w:ascii="Times New Roman" w:hAnsi="Times New Roman" w:cs="Times New Roman"/>
          <w:b/>
          <w:sz w:val="24"/>
          <w:szCs w:val="24"/>
          <w:lang w:val="en-US"/>
        </w:rPr>
        <w:t xml:space="preserve"> </w:t>
      </w:r>
    </w:p>
    <w:p w14:paraId="6A47EA23" w14:textId="77777777" w:rsidR="00931A21" w:rsidRDefault="00931A21" w:rsidP="00931A21">
      <w:pPr>
        <w:pStyle w:val="Paragrafoelenco"/>
        <w:numPr>
          <w:ilvl w:val="0"/>
          <w:numId w:val="1"/>
        </w:numPr>
        <w:rPr>
          <w:rFonts w:ascii="Times New Roman" w:hAnsi="Times New Roman" w:cs="Times New Roman"/>
          <w:b/>
          <w:sz w:val="24"/>
          <w:szCs w:val="24"/>
          <w:lang w:val="en-US"/>
        </w:rPr>
      </w:pPr>
      <w:r>
        <w:rPr>
          <w:rFonts w:ascii="Times New Roman" w:hAnsi="Times New Roman" w:cs="Times New Roman"/>
          <w:b/>
          <w:sz w:val="24"/>
          <w:szCs w:val="24"/>
          <w:lang w:val="en-US"/>
        </w:rPr>
        <w:t xml:space="preserve">The Future: </w:t>
      </w:r>
    </w:p>
    <w:p w14:paraId="43D2DDD1" w14:textId="77777777" w:rsidR="00931A21" w:rsidRDefault="00931A21" w:rsidP="00931A21">
      <w:pPr>
        <w:pStyle w:val="Paragrafoelenco"/>
        <w:numPr>
          <w:ilvl w:val="1"/>
          <w:numId w:val="1"/>
        </w:numPr>
        <w:rPr>
          <w:rFonts w:ascii="Times New Roman" w:hAnsi="Times New Roman" w:cs="Times New Roman"/>
          <w:b/>
          <w:sz w:val="24"/>
          <w:szCs w:val="24"/>
          <w:lang w:val="en-US"/>
        </w:rPr>
      </w:pPr>
      <w:r>
        <w:rPr>
          <w:rFonts w:ascii="Times New Roman" w:hAnsi="Times New Roman" w:cs="Times New Roman"/>
          <w:b/>
          <w:sz w:val="24"/>
          <w:szCs w:val="24"/>
          <w:lang w:val="en-US"/>
        </w:rPr>
        <w:t xml:space="preserve">Anarchism </w:t>
      </w:r>
      <w:proofErr w:type="spellStart"/>
      <w:r>
        <w:rPr>
          <w:rFonts w:ascii="Times New Roman" w:hAnsi="Times New Roman" w:cs="Times New Roman"/>
          <w:b/>
          <w:sz w:val="24"/>
          <w:szCs w:val="24"/>
          <w:lang w:val="en-US"/>
        </w:rPr>
        <w:t>Triumphans</w:t>
      </w:r>
      <w:proofErr w:type="spellEnd"/>
      <w:r>
        <w:rPr>
          <w:rFonts w:ascii="Times New Roman" w:hAnsi="Times New Roman" w:cs="Times New Roman"/>
          <w:b/>
          <w:sz w:val="24"/>
          <w:szCs w:val="24"/>
          <w:lang w:val="en-US"/>
        </w:rPr>
        <w:t>:</w:t>
      </w:r>
    </w:p>
    <w:p w14:paraId="3C6D9125" w14:textId="77777777" w:rsidR="00931A21" w:rsidRDefault="00931A21" w:rsidP="00931A21">
      <w:pPr>
        <w:pStyle w:val="Paragrafoelenco"/>
        <w:numPr>
          <w:ilvl w:val="2"/>
          <w:numId w:val="1"/>
        </w:numP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Heinecken</w:t>
      </w:r>
      <w:proofErr w:type="spellEnd"/>
      <w:r>
        <w:rPr>
          <w:rFonts w:ascii="Times New Roman" w:hAnsi="Times New Roman" w:cs="Times New Roman"/>
          <w:b/>
          <w:sz w:val="24"/>
          <w:szCs w:val="24"/>
          <w:lang w:val="en-US"/>
        </w:rPr>
        <w:t xml:space="preserve"> for Losers?</w:t>
      </w:r>
    </w:p>
    <w:p w14:paraId="39022BB0" w14:textId="77777777" w:rsidR="00931A21" w:rsidRDefault="00931A21" w:rsidP="00931A21">
      <w:pPr>
        <w:pStyle w:val="Paragrafoelenco"/>
        <w:numPr>
          <w:ilvl w:val="2"/>
          <w:numId w:val="1"/>
        </w:numPr>
        <w:rPr>
          <w:rFonts w:ascii="Times New Roman" w:hAnsi="Times New Roman" w:cs="Times New Roman"/>
          <w:b/>
          <w:sz w:val="24"/>
          <w:szCs w:val="24"/>
          <w:lang w:val="en-US"/>
        </w:rPr>
      </w:pPr>
      <w:r>
        <w:rPr>
          <w:rFonts w:ascii="Times New Roman" w:hAnsi="Times New Roman" w:cs="Times New Roman"/>
          <w:b/>
          <w:sz w:val="24"/>
          <w:szCs w:val="24"/>
          <w:lang w:val="en-US"/>
        </w:rPr>
        <w:t xml:space="preserve">Pizza </w:t>
      </w:r>
      <w:proofErr w:type="gramStart"/>
      <w:r>
        <w:rPr>
          <w:rFonts w:ascii="Times New Roman" w:hAnsi="Times New Roman" w:cs="Times New Roman"/>
          <w:b/>
          <w:sz w:val="24"/>
          <w:szCs w:val="24"/>
          <w:lang w:val="en-US"/>
        </w:rPr>
        <w:t>Hut;</w:t>
      </w:r>
      <w:proofErr w:type="gramEnd"/>
    </w:p>
    <w:p w14:paraId="41130488" w14:textId="2A2432D6" w:rsidR="00931A21" w:rsidRDefault="00931A21" w:rsidP="00931A21">
      <w:pPr>
        <w:pStyle w:val="Paragrafoelenco"/>
        <w:numPr>
          <w:ilvl w:val="2"/>
          <w:numId w:val="1"/>
        </w:numPr>
        <w:rPr>
          <w:rFonts w:ascii="Times New Roman" w:hAnsi="Times New Roman" w:cs="Times New Roman"/>
          <w:b/>
          <w:sz w:val="24"/>
          <w:szCs w:val="24"/>
          <w:lang w:val="en-US"/>
        </w:rPr>
      </w:pPr>
      <w:r>
        <w:rPr>
          <w:rFonts w:ascii="Times New Roman" w:hAnsi="Times New Roman" w:cs="Times New Roman"/>
          <w:b/>
          <w:sz w:val="24"/>
          <w:szCs w:val="24"/>
          <w:lang w:val="en-US"/>
        </w:rPr>
        <w:t xml:space="preserve">Friedman; or </w:t>
      </w:r>
    </w:p>
    <w:p w14:paraId="7AA387CC" w14:textId="49BF0A44" w:rsidR="00931A21" w:rsidRDefault="00931A21" w:rsidP="00931A21">
      <w:pPr>
        <w:pStyle w:val="Paragrafoelenco"/>
        <w:numPr>
          <w:ilvl w:val="1"/>
          <w:numId w:val="1"/>
        </w:numPr>
        <w:rPr>
          <w:rFonts w:ascii="Times New Roman" w:hAnsi="Times New Roman" w:cs="Times New Roman"/>
          <w:b/>
          <w:sz w:val="24"/>
          <w:szCs w:val="24"/>
          <w:lang w:val="en-US"/>
        </w:rPr>
      </w:pPr>
      <w:r>
        <w:rPr>
          <w:rFonts w:ascii="Times New Roman" w:hAnsi="Times New Roman" w:cs="Times New Roman"/>
          <w:b/>
          <w:sz w:val="24"/>
          <w:szCs w:val="24"/>
          <w:lang w:val="en-US"/>
        </w:rPr>
        <w:t>Total Control</w:t>
      </w:r>
    </w:p>
    <w:p w14:paraId="40F9BA54" w14:textId="269803E6" w:rsidR="00931A21" w:rsidRDefault="00931A21" w:rsidP="00931A21">
      <w:pPr>
        <w:pStyle w:val="Paragrafoelenco"/>
        <w:numPr>
          <w:ilvl w:val="2"/>
          <w:numId w:val="1"/>
        </w:numP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Kur and neuromarketing</w:t>
      </w:r>
    </w:p>
    <w:p w14:paraId="30DA5C1B" w14:textId="0C4E8D93" w:rsidR="00931A21" w:rsidRDefault="00931A21" w:rsidP="00931A21">
      <w:pPr>
        <w:pStyle w:val="Paragrafoelenco"/>
        <w:numPr>
          <w:ilvl w:val="2"/>
          <w:numId w:val="1"/>
        </w:numPr>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Shoshana;</w:t>
      </w:r>
      <w:proofErr w:type="gramEnd"/>
    </w:p>
    <w:p w14:paraId="3C99EB30" w14:textId="24DD4173" w:rsidR="00931A21" w:rsidRDefault="00931A21" w:rsidP="00931A21">
      <w:pPr>
        <w:pStyle w:val="Paragrafoelenco"/>
        <w:numPr>
          <w:ilvl w:val="2"/>
          <w:numId w:val="1"/>
        </w:numPr>
        <w:rPr>
          <w:rFonts w:ascii="Times New Roman" w:hAnsi="Times New Roman" w:cs="Times New Roman"/>
          <w:b/>
          <w:sz w:val="24"/>
          <w:szCs w:val="24"/>
          <w:lang w:val="en-US"/>
        </w:rPr>
      </w:pPr>
      <w:r>
        <w:rPr>
          <w:rFonts w:ascii="Times New Roman" w:hAnsi="Times New Roman" w:cs="Times New Roman"/>
          <w:b/>
          <w:sz w:val="24"/>
          <w:szCs w:val="24"/>
          <w:lang w:val="en-US"/>
        </w:rPr>
        <w:t xml:space="preserve">Friedman again: algorithmic justice </w:t>
      </w:r>
    </w:p>
    <w:p w14:paraId="788099E7" w14:textId="77777777" w:rsidR="00931A21" w:rsidRPr="00931A21" w:rsidRDefault="00931A21" w:rsidP="00931A21">
      <w:pPr>
        <w:pStyle w:val="Paragrafoelenco"/>
        <w:numPr>
          <w:ilvl w:val="0"/>
          <w:numId w:val="1"/>
        </w:numPr>
        <w:rPr>
          <w:rFonts w:ascii="Times New Roman" w:hAnsi="Times New Roman" w:cs="Times New Roman"/>
          <w:b/>
          <w:sz w:val="24"/>
          <w:szCs w:val="24"/>
          <w:lang w:val="en-US"/>
        </w:rPr>
      </w:pPr>
    </w:p>
    <w:p w14:paraId="3F8776BB" w14:textId="0D491A2E" w:rsidR="00931A21" w:rsidRPr="00643F3E" w:rsidRDefault="00643F3E">
      <w:pPr>
        <w:rPr>
          <w:rFonts w:ascii="Times New Roman" w:hAnsi="Times New Roman" w:cs="Times New Roman"/>
          <w:b/>
          <w:sz w:val="28"/>
          <w:szCs w:val="28"/>
          <w:lang w:val="en-US"/>
        </w:rPr>
      </w:pPr>
      <w:r w:rsidRPr="00643F3E">
        <w:rPr>
          <w:rFonts w:ascii="Times New Roman" w:hAnsi="Times New Roman" w:cs="Times New Roman"/>
          <w:sz w:val="28"/>
          <w:szCs w:val="28"/>
          <w:lang w:val="en-US"/>
        </w:rPr>
        <w:t xml:space="preserve">Corte UE 3 </w:t>
      </w:r>
      <w:proofErr w:type="spellStart"/>
      <w:r w:rsidRPr="00643F3E">
        <w:rPr>
          <w:rFonts w:ascii="Times New Roman" w:hAnsi="Times New Roman" w:cs="Times New Roman"/>
          <w:sz w:val="28"/>
          <w:szCs w:val="28"/>
          <w:lang w:val="en-US"/>
        </w:rPr>
        <w:t>ottobre</w:t>
      </w:r>
      <w:proofErr w:type="spellEnd"/>
      <w:r w:rsidRPr="00643F3E">
        <w:rPr>
          <w:rFonts w:ascii="Times New Roman" w:hAnsi="Times New Roman" w:cs="Times New Roman"/>
          <w:sz w:val="28"/>
          <w:szCs w:val="28"/>
          <w:lang w:val="en-US"/>
        </w:rPr>
        <w:t xml:space="preserve"> 2019 (Terza </w:t>
      </w:r>
      <w:proofErr w:type="spellStart"/>
      <w:r w:rsidRPr="00643F3E">
        <w:rPr>
          <w:rFonts w:ascii="Times New Roman" w:hAnsi="Times New Roman" w:cs="Times New Roman"/>
          <w:sz w:val="28"/>
          <w:szCs w:val="28"/>
          <w:lang w:val="en-US"/>
        </w:rPr>
        <w:t>Sezione</w:t>
      </w:r>
      <w:proofErr w:type="spellEnd"/>
      <w:r w:rsidRPr="00643F3E">
        <w:rPr>
          <w:rFonts w:ascii="Times New Roman" w:hAnsi="Times New Roman" w:cs="Times New Roman"/>
          <w:sz w:val="28"/>
          <w:szCs w:val="28"/>
          <w:lang w:val="en-US"/>
        </w:rPr>
        <w:t xml:space="preserve">), causa C-18/18, Eva </w:t>
      </w:r>
      <w:proofErr w:type="spellStart"/>
      <w:r w:rsidRPr="00643F3E">
        <w:rPr>
          <w:rFonts w:ascii="Times New Roman" w:hAnsi="Times New Roman" w:cs="Times New Roman"/>
          <w:sz w:val="28"/>
          <w:szCs w:val="28"/>
          <w:lang w:val="en-US"/>
        </w:rPr>
        <w:t>Glawischnig-Piesczeck</w:t>
      </w:r>
      <w:proofErr w:type="spellEnd"/>
      <w:r w:rsidRPr="00643F3E">
        <w:rPr>
          <w:rFonts w:ascii="Times New Roman" w:hAnsi="Times New Roman" w:cs="Times New Roman"/>
          <w:sz w:val="28"/>
          <w:szCs w:val="28"/>
          <w:lang w:val="en-US"/>
        </w:rPr>
        <w:t xml:space="preserve"> c. Facebook Ireland Ltd., </w:t>
      </w:r>
      <w:proofErr w:type="spellStart"/>
      <w:r w:rsidRPr="00643F3E">
        <w:rPr>
          <w:rFonts w:ascii="Times New Roman" w:hAnsi="Times New Roman" w:cs="Times New Roman"/>
          <w:sz w:val="28"/>
          <w:szCs w:val="28"/>
          <w:lang w:val="en-US"/>
        </w:rPr>
        <w:t>caso</w:t>
      </w:r>
      <w:proofErr w:type="spellEnd"/>
      <w:r w:rsidRPr="00643F3E">
        <w:rPr>
          <w:rFonts w:ascii="Times New Roman" w:hAnsi="Times New Roman" w:cs="Times New Roman"/>
          <w:sz w:val="28"/>
          <w:szCs w:val="28"/>
          <w:lang w:val="en-US"/>
        </w:rPr>
        <w:t xml:space="preserve"> «</w:t>
      </w:r>
      <w:proofErr w:type="spellStart"/>
      <w:r w:rsidRPr="00643F3E">
        <w:rPr>
          <w:rFonts w:ascii="Times New Roman" w:hAnsi="Times New Roman" w:cs="Times New Roman"/>
          <w:sz w:val="28"/>
          <w:szCs w:val="28"/>
          <w:lang w:val="en-US"/>
        </w:rPr>
        <w:t>Glawischnig-Piesczek</w:t>
      </w:r>
      <w:proofErr w:type="spellEnd"/>
      <w:r w:rsidRPr="00643F3E">
        <w:rPr>
          <w:rFonts w:ascii="Times New Roman" w:hAnsi="Times New Roman" w:cs="Times New Roman"/>
          <w:sz w:val="28"/>
          <w:szCs w:val="28"/>
          <w:lang w:val="en-US"/>
        </w:rPr>
        <w:t>»</w:t>
      </w:r>
    </w:p>
    <w:p w14:paraId="74D8E94E" w14:textId="77777777" w:rsidR="00931A21" w:rsidRPr="001B1E75" w:rsidRDefault="00931A21" w:rsidP="00931A21">
      <w:pPr>
        <w:rPr>
          <w:lang w:val="en-US"/>
        </w:rPr>
      </w:pPr>
      <w:r w:rsidRPr="001B1E75">
        <w:rPr>
          <w:lang w:val="en-US"/>
        </w:rPr>
        <w:t>Dear Igor, dear Ricardo,</w:t>
      </w:r>
    </w:p>
    <w:p w14:paraId="407B3E29" w14:textId="77777777" w:rsidR="00931A21" w:rsidRDefault="00931A21" w:rsidP="00931A21">
      <w:pPr>
        <w:rPr>
          <w:lang w:val="en-US"/>
        </w:rPr>
      </w:pPr>
      <w:r w:rsidRPr="00931A21">
        <w:rPr>
          <w:lang w:val="en-US"/>
        </w:rPr>
        <w:tab/>
      </w:r>
      <w:r>
        <w:rPr>
          <w:lang w:val="en-US"/>
        </w:rPr>
        <w:t>three weeks away from your (our) conference.</w:t>
      </w:r>
    </w:p>
    <w:p w14:paraId="530C893A" w14:textId="77777777" w:rsidR="00931A21" w:rsidRDefault="00931A21" w:rsidP="00931A21">
      <w:pPr>
        <w:rPr>
          <w:lang w:val="en-US"/>
        </w:rPr>
      </w:pPr>
      <w:r>
        <w:rPr>
          <w:lang w:val="en-US"/>
        </w:rPr>
        <w:tab/>
        <w:t>I have been thinking about it. I do not know yet how much time I will have (20 min.? 30 min.?); but I am thinking that you wish to have 1) some perspective on now quite established issues (like jurisdiction, the role of internet service providers and the like); and 2) some vision about the future, like: triumph of anarchy or unlimited control.</w:t>
      </w:r>
    </w:p>
    <w:p w14:paraId="22F96A36" w14:textId="77777777" w:rsidR="00931A21" w:rsidRDefault="00931A21" w:rsidP="00931A21">
      <w:pPr>
        <w:rPr>
          <w:lang w:val="en-US"/>
        </w:rPr>
      </w:pPr>
      <w:r>
        <w:rPr>
          <w:lang w:val="en-US"/>
        </w:rPr>
        <w:tab/>
        <w:t>What do you think about the approach?</w:t>
      </w:r>
    </w:p>
    <w:p w14:paraId="556C61EC" w14:textId="77777777" w:rsidR="00931A21" w:rsidRDefault="00931A21" w:rsidP="00931A21">
      <w:pPr>
        <w:rPr>
          <w:lang w:val="en-US"/>
        </w:rPr>
      </w:pPr>
      <w:r>
        <w:rPr>
          <w:lang w:val="en-US"/>
        </w:rPr>
        <w:tab/>
        <w:t xml:space="preserve">How about a title like: </w:t>
      </w:r>
      <w:r>
        <w:rPr>
          <w:i/>
          <w:iCs/>
          <w:lang w:val="en-US"/>
        </w:rPr>
        <w:t>trademarks &amp; the internet: present and future</w:t>
      </w:r>
      <w:r>
        <w:rPr>
          <w:lang w:val="en-US"/>
        </w:rPr>
        <w:t>?</w:t>
      </w:r>
    </w:p>
    <w:p w14:paraId="39F57F70" w14:textId="77777777" w:rsidR="00931A21" w:rsidRDefault="00931A21" w:rsidP="00931A21">
      <w:pPr>
        <w:rPr>
          <w:lang w:val="en-US"/>
        </w:rPr>
      </w:pPr>
      <w:r>
        <w:rPr>
          <w:lang w:val="en-US"/>
        </w:rPr>
        <w:tab/>
        <w:t xml:space="preserve">Have a nice day </w:t>
      </w:r>
      <w:proofErr w:type="gramStart"/>
      <w:r>
        <w:rPr>
          <w:lang w:val="en-US"/>
        </w:rPr>
        <w:t>m</w:t>
      </w:r>
      <w:proofErr w:type="gramEnd"/>
    </w:p>
    <w:p w14:paraId="78770395" w14:textId="77777777" w:rsidR="00931A21" w:rsidRDefault="00931A21">
      <w:pPr>
        <w:rPr>
          <w:rFonts w:ascii="Times New Roman" w:hAnsi="Times New Roman" w:cs="Times New Roman"/>
          <w:b/>
          <w:sz w:val="24"/>
          <w:szCs w:val="24"/>
          <w:lang w:val="en-US"/>
        </w:rPr>
      </w:pPr>
    </w:p>
    <w:p w14:paraId="01086B39" w14:textId="77777777" w:rsidR="00423114" w:rsidRDefault="00423114">
      <w:pPr>
        <w:rPr>
          <w:rFonts w:ascii="Times New Roman" w:hAnsi="Times New Roman" w:cs="Times New Roman"/>
          <w:b/>
          <w:sz w:val="24"/>
          <w:szCs w:val="24"/>
          <w:lang w:val="en-US"/>
        </w:rPr>
      </w:pPr>
    </w:p>
    <w:p w14:paraId="72D1F2CD" w14:textId="77777777" w:rsidR="00523ECC" w:rsidRPr="00423114" w:rsidRDefault="00523ECC" w:rsidP="00523ECC">
      <w:pPr>
        <w:spacing w:after="0" w:line="240" w:lineRule="auto"/>
        <w:jc w:val="both"/>
        <w:rPr>
          <w:rFonts w:ascii="Times New Roman" w:hAnsi="Times New Roman" w:cs="Times New Roman"/>
          <w:sz w:val="28"/>
          <w:szCs w:val="28"/>
          <w:lang w:val="en-US"/>
        </w:rPr>
      </w:pPr>
    </w:p>
    <w:p w14:paraId="7B5C95A2" w14:textId="77777777" w:rsidR="00523ECC" w:rsidRPr="003F41EC" w:rsidRDefault="00523ECC" w:rsidP="00523ECC">
      <w:pPr>
        <w:spacing w:after="0" w:line="240" w:lineRule="auto"/>
        <w:jc w:val="both"/>
        <w:rPr>
          <w:rFonts w:ascii="Times New Roman" w:hAnsi="Times New Roman" w:cs="Times New Roman"/>
          <w:sz w:val="24"/>
          <w:szCs w:val="24"/>
        </w:rPr>
      </w:pPr>
      <w:r w:rsidRPr="00643F3E">
        <w:rPr>
          <w:rFonts w:ascii="Times New Roman" w:hAnsi="Times New Roman" w:cs="Times New Roman"/>
          <w:sz w:val="24"/>
          <w:szCs w:val="24"/>
          <w:lang w:val="en-US"/>
        </w:rPr>
        <w:t xml:space="preserve">8bis. </w:t>
      </w:r>
      <w:r w:rsidRPr="003F41EC">
        <w:rPr>
          <w:rFonts w:ascii="Times New Roman" w:hAnsi="Times New Roman" w:cs="Times New Roman"/>
          <w:i/>
          <w:sz w:val="24"/>
          <w:szCs w:val="24"/>
        </w:rPr>
        <w:t xml:space="preserve">Marchi e </w:t>
      </w:r>
      <w:r w:rsidRPr="003F41EC">
        <w:rPr>
          <w:rFonts w:ascii="Times New Roman" w:hAnsi="Times New Roman" w:cs="Times New Roman"/>
          <w:sz w:val="24"/>
          <w:szCs w:val="24"/>
        </w:rPr>
        <w:t>social media</w:t>
      </w:r>
    </w:p>
    <w:p w14:paraId="29E56F19" w14:textId="77777777" w:rsidR="00523ECC" w:rsidRDefault="00523ECC" w:rsidP="00523ECC">
      <w:pPr>
        <w:spacing w:after="0" w:line="240" w:lineRule="auto"/>
        <w:jc w:val="both"/>
        <w:rPr>
          <w:rFonts w:ascii="Times New Roman" w:hAnsi="Times New Roman" w:cs="Times New Roman"/>
          <w:sz w:val="24"/>
          <w:szCs w:val="24"/>
        </w:rPr>
      </w:pPr>
    </w:p>
    <w:p w14:paraId="61E3E6AD" w14:textId="77777777" w:rsidR="00523ECC" w:rsidRPr="003F41EC" w:rsidRDefault="00523ECC" w:rsidP="00523ECC">
      <w:pPr>
        <w:spacing w:after="0" w:line="240" w:lineRule="auto"/>
        <w:jc w:val="both"/>
        <w:rPr>
          <w:rFonts w:ascii="Times New Roman" w:hAnsi="Times New Roman" w:cs="Times New Roman"/>
        </w:rPr>
      </w:pPr>
      <w:r>
        <w:rPr>
          <w:rFonts w:ascii="Times New Roman" w:hAnsi="Times New Roman" w:cs="Times New Roman"/>
          <w:sz w:val="24"/>
          <w:szCs w:val="24"/>
        </w:rPr>
        <w:tab/>
      </w:r>
      <w:r w:rsidRPr="003F41EC">
        <w:rPr>
          <w:rFonts w:ascii="Times New Roman" w:hAnsi="Times New Roman" w:cs="Times New Roman"/>
        </w:rPr>
        <w:t>Fin qui abbiamo cercato di fare i conti con i lineamenti del diritto dei marchi quali ci sono stati consegnati dagli ultimi due secoli di storia. All’orizzonte si s</w:t>
      </w:r>
      <w:r>
        <w:rPr>
          <w:rFonts w:ascii="Times New Roman" w:hAnsi="Times New Roman" w:cs="Times New Roman"/>
        </w:rPr>
        <w:t>ono</w:t>
      </w:r>
      <w:r w:rsidRPr="003F41EC">
        <w:rPr>
          <w:rFonts w:ascii="Times New Roman" w:hAnsi="Times New Roman" w:cs="Times New Roman"/>
        </w:rPr>
        <w:t xml:space="preserve"> profila</w:t>
      </w:r>
      <w:r>
        <w:rPr>
          <w:rFonts w:ascii="Times New Roman" w:hAnsi="Times New Roman" w:cs="Times New Roman"/>
        </w:rPr>
        <w:t>ti</w:t>
      </w:r>
      <w:r w:rsidRPr="003F41EC">
        <w:rPr>
          <w:rFonts w:ascii="Times New Roman" w:hAnsi="Times New Roman" w:cs="Times New Roman"/>
        </w:rPr>
        <w:t xml:space="preserve"> mutamenti importanti, che richiedono una riflessione per certi versi radicalmente nuova. I primi segni del cambiamento si iniziano ad avvertire quando si registri che i marchi – e più in generale i segni distintivi – sono impiegati sempre più spesso </w:t>
      </w:r>
      <w:r w:rsidRPr="003F41EC">
        <w:rPr>
          <w:rFonts w:ascii="Times New Roman" w:hAnsi="Times New Roman" w:cs="Times New Roman"/>
          <w:i/>
        </w:rPr>
        <w:t>online</w:t>
      </w:r>
      <w:r w:rsidRPr="003F41EC">
        <w:rPr>
          <w:rFonts w:ascii="Times New Roman" w:hAnsi="Times New Roman" w:cs="Times New Roman"/>
        </w:rPr>
        <w:t xml:space="preserve">. Vengono qui alla ribalta fenomeni nuovi, che innescano riflessioni inedite fin quando i marchi venivano </w:t>
      </w:r>
      <w:r>
        <w:rPr>
          <w:rFonts w:ascii="Times New Roman" w:hAnsi="Times New Roman" w:cs="Times New Roman"/>
        </w:rPr>
        <w:t>utilizzati</w:t>
      </w:r>
      <w:r w:rsidRPr="003F41EC">
        <w:rPr>
          <w:rFonts w:ascii="Times New Roman" w:hAnsi="Times New Roman" w:cs="Times New Roman"/>
        </w:rPr>
        <w:t xml:space="preserve"> nel basso mondo della realtà reale, </w:t>
      </w:r>
      <w:proofErr w:type="spellStart"/>
      <w:r w:rsidRPr="003F41EC">
        <w:rPr>
          <w:rFonts w:ascii="Times New Roman" w:hAnsi="Times New Roman" w:cs="Times New Roman"/>
          <w:i/>
        </w:rPr>
        <w:t>bricks</w:t>
      </w:r>
      <w:proofErr w:type="spellEnd"/>
      <w:r w:rsidRPr="003F41EC">
        <w:rPr>
          <w:rFonts w:ascii="Times New Roman" w:hAnsi="Times New Roman" w:cs="Times New Roman"/>
          <w:i/>
        </w:rPr>
        <w:t>-and-</w:t>
      </w:r>
      <w:proofErr w:type="spellStart"/>
      <w:r w:rsidRPr="003F41EC">
        <w:rPr>
          <w:rFonts w:ascii="Times New Roman" w:hAnsi="Times New Roman" w:cs="Times New Roman"/>
          <w:i/>
        </w:rPr>
        <w:t>mortar</w:t>
      </w:r>
      <w:proofErr w:type="spellEnd"/>
      <w:r w:rsidRPr="003F41EC">
        <w:rPr>
          <w:rFonts w:ascii="Times New Roman" w:hAnsi="Times New Roman" w:cs="Times New Roman"/>
        </w:rPr>
        <w:t xml:space="preserve">. Ci si deve ad es. domandare come vada inteso </w:t>
      </w:r>
      <w:r>
        <w:rPr>
          <w:rFonts w:ascii="Times New Roman" w:hAnsi="Times New Roman" w:cs="Times New Roman"/>
        </w:rPr>
        <w:t xml:space="preserve">oggi </w:t>
      </w:r>
      <w:r w:rsidRPr="003F41EC">
        <w:rPr>
          <w:rFonts w:ascii="Times New Roman" w:hAnsi="Times New Roman" w:cs="Times New Roman"/>
        </w:rPr>
        <w:t>il principio di territorialità</w:t>
      </w:r>
      <w:r>
        <w:rPr>
          <w:rFonts w:ascii="Times New Roman" w:hAnsi="Times New Roman" w:cs="Times New Roman"/>
        </w:rPr>
        <w:t xml:space="preserve"> dei marchi;</w:t>
      </w:r>
      <w:r w:rsidRPr="003F41EC">
        <w:rPr>
          <w:rFonts w:ascii="Times New Roman" w:hAnsi="Times New Roman" w:cs="Times New Roman"/>
        </w:rPr>
        <w:t xml:space="preserve"> quando l’impiego di </w:t>
      </w:r>
      <w:r w:rsidRPr="003F41EC">
        <w:rPr>
          <w:rFonts w:ascii="Times New Roman" w:hAnsi="Times New Roman" w:cs="Times New Roman"/>
          <w:i/>
        </w:rPr>
        <w:t xml:space="preserve">link </w:t>
      </w:r>
      <w:r w:rsidRPr="003F41EC">
        <w:rPr>
          <w:rFonts w:ascii="Times New Roman" w:hAnsi="Times New Roman" w:cs="Times New Roman"/>
        </w:rPr>
        <w:t>sponsorizzati</w:t>
      </w:r>
      <w:r>
        <w:rPr>
          <w:rFonts w:ascii="Times New Roman" w:hAnsi="Times New Roman" w:cs="Times New Roman"/>
        </w:rPr>
        <w:t xml:space="preserve"> ai marchi altrui</w:t>
      </w:r>
      <w:r w:rsidRPr="003F41EC">
        <w:rPr>
          <w:rFonts w:ascii="Times New Roman" w:hAnsi="Times New Roman" w:cs="Times New Roman"/>
        </w:rPr>
        <w:t xml:space="preserve"> (come gli AdWords) costituisca contraffazione</w:t>
      </w:r>
      <w:r>
        <w:rPr>
          <w:rFonts w:ascii="Times New Roman" w:hAnsi="Times New Roman" w:cs="Times New Roman"/>
        </w:rPr>
        <w:t>;</w:t>
      </w:r>
      <w:r w:rsidRPr="003F41EC">
        <w:rPr>
          <w:rFonts w:ascii="Times New Roman" w:hAnsi="Times New Roman" w:cs="Times New Roman"/>
        </w:rPr>
        <w:t xml:space="preserve"> </w:t>
      </w:r>
      <w:r>
        <w:rPr>
          <w:rFonts w:ascii="Times New Roman" w:hAnsi="Times New Roman" w:cs="Times New Roman"/>
        </w:rPr>
        <w:t xml:space="preserve">se, nell’apprezzare la contraffazione, le categorie che abbiamo collaudato a contatto con la grande distribuzione organizzata (GDO) non vadano ripensate, </w:t>
      </w:r>
      <w:r w:rsidRPr="003F41EC">
        <w:rPr>
          <w:rFonts w:ascii="Times New Roman" w:hAnsi="Times New Roman" w:cs="Times New Roman"/>
        </w:rPr>
        <w:t xml:space="preserve">se e quando gli </w:t>
      </w:r>
      <w:r w:rsidRPr="003F41EC">
        <w:rPr>
          <w:rFonts w:ascii="Times New Roman" w:hAnsi="Times New Roman" w:cs="Times New Roman"/>
          <w:i/>
        </w:rPr>
        <w:t xml:space="preserve">internet service providers </w:t>
      </w:r>
      <w:r>
        <w:rPr>
          <w:rFonts w:ascii="Times New Roman" w:hAnsi="Times New Roman" w:cs="Times New Roman"/>
        </w:rPr>
        <w:t>(</w:t>
      </w:r>
      <w:proofErr w:type="spellStart"/>
      <w:r w:rsidRPr="009D6E08">
        <w:rPr>
          <w:rFonts w:ascii="Times New Roman" w:hAnsi="Times New Roman" w:cs="Times New Roman"/>
          <w:i/>
        </w:rPr>
        <w:t>ISPs</w:t>
      </w:r>
      <w:proofErr w:type="spellEnd"/>
      <w:r>
        <w:rPr>
          <w:rFonts w:ascii="Times New Roman" w:hAnsi="Times New Roman" w:cs="Times New Roman"/>
        </w:rPr>
        <w:t xml:space="preserve">) </w:t>
      </w:r>
      <w:r w:rsidRPr="003F41EC">
        <w:rPr>
          <w:rFonts w:ascii="Times New Roman" w:hAnsi="Times New Roman" w:cs="Times New Roman"/>
        </w:rPr>
        <w:t>siano responsabili dell’uso del marchio altrui da parte dei propri utenti. Su ciascuno di questi temi si tornerà a tempo debito</w:t>
      </w:r>
      <w:r w:rsidRPr="003F41EC">
        <w:rPr>
          <w:rStyle w:val="Rimandonotaapidipagina"/>
          <w:rFonts w:ascii="Times New Roman" w:hAnsi="Times New Roman" w:cs="Times New Roman"/>
        </w:rPr>
        <w:footnoteReference w:id="1"/>
      </w:r>
      <w:r w:rsidRPr="003F41EC">
        <w:rPr>
          <w:rFonts w:ascii="Times New Roman" w:hAnsi="Times New Roman" w:cs="Times New Roman"/>
        </w:rPr>
        <w:t xml:space="preserve">. E tuttavia si può fin d’ora osservare che essi rappresentano novità relative, nel panorama collaudato e sperimentato del diritto dei segni distintivi, in quanto ripropongono sotto </w:t>
      </w:r>
      <w:proofErr w:type="gramStart"/>
      <w:r w:rsidRPr="003F41EC">
        <w:rPr>
          <w:rFonts w:ascii="Times New Roman" w:hAnsi="Times New Roman" w:cs="Times New Roman"/>
        </w:rPr>
        <w:t>un angolatura</w:t>
      </w:r>
      <w:proofErr w:type="gramEnd"/>
      <w:r w:rsidRPr="003F41EC">
        <w:rPr>
          <w:rFonts w:ascii="Times New Roman" w:hAnsi="Times New Roman" w:cs="Times New Roman"/>
        </w:rPr>
        <w:t xml:space="preserve"> particolare questioni già incontrate nell’esperienza normativa presente.</w:t>
      </w:r>
    </w:p>
    <w:p w14:paraId="7F155775" w14:textId="77777777" w:rsidR="00523ECC" w:rsidRPr="003F41EC" w:rsidRDefault="00523ECC" w:rsidP="00523ECC">
      <w:pPr>
        <w:spacing w:after="0" w:line="240" w:lineRule="auto"/>
        <w:jc w:val="both"/>
        <w:rPr>
          <w:rFonts w:ascii="Times New Roman" w:hAnsi="Times New Roman" w:cs="Times New Roman"/>
        </w:rPr>
      </w:pPr>
      <w:r w:rsidRPr="003F41EC">
        <w:rPr>
          <w:rFonts w:ascii="Times New Roman" w:hAnsi="Times New Roman" w:cs="Times New Roman"/>
        </w:rPr>
        <w:tab/>
        <w:t>Si ha la netta impressione che i termini stessi delle questioni cambino però radicalmente</w:t>
      </w:r>
      <w:r>
        <w:rPr>
          <w:rFonts w:ascii="Times New Roman" w:hAnsi="Times New Roman" w:cs="Times New Roman"/>
        </w:rPr>
        <w:t xml:space="preserve"> ancora una volta</w:t>
      </w:r>
      <w:r w:rsidRPr="003F41EC">
        <w:rPr>
          <w:rFonts w:ascii="Times New Roman" w:hAnsi="Times New Roman" w:cs="Times New Roman"/>
        </w:rPr>
        <w:t xml:space="preserve">, quando i marchi incontrino i </w:t>
      </w:r>
      <w:r w:rsidRPr="003F41EC">
        <w:rPr>
          <w:rFonts w:ascii="Times New Roman" w:hAnsi="Times New Roman" w:cs="Times New Roman"/>
          <w:i/>
        </w:rPr>
        <w:t>social media</w:t>
      </w:r>
      <w:r w:rsidRPr="003F41EC">
        <w:rPr>
          <w:rFonts w:ascii="Times New Roman" w:hAnsi="Times New Roman" w:cs="Times New Roman"/>
        </w:rPr>
        <w:t xml:space="preserve">: Facebook, Twitter, ma anche </w:t>
      </w:r>
      <w:proofErr w:type="spellStart"/>
      <w:r w:rsidRPr="003F41EC">
        <w:rPr>
          <w:rFonts w:ascii="Times New Roman" w:hAnsi="Times New Roman" w:cs="Times New Roman"/>
        </w:rPr>
        <w:t>You</w:t>
      </w:r>
      <w:proofErr w:type="spellEnd"/>
      <w:r w:rsidRPr="003F41EC">
        <w:rPr>
          <w:rFonts w:ascii="Times New Roman" w:hAnsi="Times New Roman" w:cs="Times New Roman"/>
        </w:rPr>
        <w:t xml:space="preserve"> Tube</w:t>
      </w:r>
      <w:r>
        <w:rPr>
          <w:rFonts w:ascii="Times New Roman" w:hAnsi="Times New Roman" w:cs="Times New Roman"/>
        </w:rPr>
        <w:t>, Instagram, Pinterest e Snap</w:t>
      </w:r>
      <w:r>
        <w:rPr>
          <w:rStyle w:val="Rimandonotaapidipagina"/>
          <w:rFonts w:ascii="Times New Roman" w:hAnsi="Times New Roman" w:cs="Times New Roman"/>
        </w:rPr>
        <w:footnoteReference w:id="2"/>
      </w:r>
      <w:r w:rsidRPr="003F41EC">
        <w:rPr>
          <w:rFonts w:ascii="Times New Roman" w:hAnsi="Times New Roman" w:cs="Times New Roman"/>
        </w:rPr>
        <w:t xml:space="preserve"> e</w:t>
      </w:r>
      <w:r>
        <w:rPr>
          <w:rFonts w:ascii="Times New Roman" w:hAnsi="Times New Roman" w:cs="Times New Roman"/>
        </w:rPr>
        <w:t xml:space="preserve">, domani, </w:t>
      </w:r>
      <w:proofErr w:type="spellStart"/>
      <w:r>
        <w:rPr>
          <w:rFonts w:ascii="Times New Roman" w:hAnsi="Times New Roman" w:cs="Times New Roman"/>
        </w:rPr>
        <w:t>Tencent</w:t>
      </w:r>
      <w:proofErr w:type="spellEnd"/>
      <w:r>
        <w:rPr>
          <w:rFonts w:ascii="Times New Roman" w:hAnsi="Times New Roman" w:cs="Times New Roman"/>
        </w:rPr>
        <w:t xml:space="preserve">, Sina Weibo e </w:t>
      </w:r>
      <w:proofErr w:type="spellStart"/>
      <w:r>
        <w:rPr>
          <w:rFonts w:ascii="Times New Roman" w:hAnsi="Times New Roman" w:cs="Times New Roman"/>
        </w:rPr>
        <w:t>Wechat</w:t>
      </w:r>
      <w:proofErr w:type="spellEnd"/>
      <w:r w:rsidRPr="003F41EC">
        <w:rPr>
          <w:rFonts w:ascii="Times New Roman" w:hAnsi="Times New Roman" w:cs="Times New Roman"/>
        </w:rPr>
        <w:t xml:space="preserve">. Che si tratti di novità questa volta assolute, e non solo relative, è avvertito a partire da due prospettive molto diverse fra di loro. </w:t>
      </w:r>
    </w:p>
    <w:p w14:paraId="70C910D2" w14:textId="77777777" w:rsidR="00523ECC" w:rsidRDefault="00523ECC" w:rsidP="00523ECC">
      <w:pPr>
        <w:spacing w:after="0" w:line="240" w:lineRule="auto"/>
        <w:ind w:firstLine="708"/>
        <w:jc w:val="both"/>
        <w:rPr>
          <w:rFonts w:ascii="Times New Roman" w:hAnsi="Times New Roman" w:cs="Times New Roman"/>
        </w:rPr>
      </w:pPr>
      <w:r w:rsidRPr="003F41EC">
        <w:rPr>
          <w:rFonts w:ascii="Times New Roman" w:hAnsi="Times New Roman" w:cs="Times New Roman"/>
        </w:rPr>
        <w:t xml:space="preserve">Entro una prima visuale si fa valere che, affacciandosi sul mondo dei </w:t>
      </w:r>
      <w:r w:rsidRPr="003F41EC">
        <w:rPr>
          <w:rFonts w:ascii="Times New Roman" w:hAnsi="Times New Roman" w:cs="Times New Roman"/>
          <w:i/>
        </w:rPr>
        <w:t>social media</w:t>
      </w:r>
      <w:r w:rsidRPr="003F41EC">
        <w:rPr>
          <w:rFonts w:ascii="Times New Roman" w:hAnsi="Times New Roman" w:cs="Times New Roman"/>
        </w:rPr>
        <w:t xml:space="preserve">, i marchi vengano a partecipare delle caratteristiche di questo universo parallelo. In passato, i protagonisti dei conflitti aventi ad </w:t>
      </w:r>
      <w:r w:rsidRPr="003F41EC">
        <w:rPr>
          <w:rFonts w:ascii="Times New Roman" w:hAnsi="Times New Roman" w:cs="Times New Roman"/>
        </w:rPr>
        <w:lastRenderedPageBreak/>
        <w:t xml:space="preserve">oggetto i marchi erano, direttamente, gli imprenditori rivali, mentre i consumatori restavano spettatori, per quanto indirettamente interessati all’esito della contesa. Con l’avvento dei </w:t>
      </w:r>
      <w:r w:rsidRPr="003F41EC">
        <w:rPr>
          <w:rFonts w:ascii="Times New Roman" w:hAnsi="Times New Roman" w:cs="Times New Roman"/>
          <w:i/>
        </w:rPr>
        <w:t xml:space="preserve">social media </w:t>
      </w:r>
      <w:r w:rsidRPr="003F41EC">
        <w:rPr>
          <w:rFonts w:ascii="Times New Roman" w:hAnsi="Times New Roman" w:cs="Times New Roman"/>
        </w:rPr>
        <w:t xml:space="preserve">si assiste alla nascita di spazi (digitali) nuovi, che sfuggono alla classificazione tradizionale privato/pubblico. Una pagina di Facebook, ad es., è condivisa dal suo creatore con la comunità più o meno ampia di “amici” ad essa ammessi; e del resto può, a seconda dei c.d. </w:t>
      </w:r>
      <w:r w:rsidRPr="003F41EC">
        <w:rPr>
          <w:rFonts w:ascii="Times New Roman" w:hAnsi="Times New Roman" w:cs="Times New Roman"/>
          <w:i/>
        </w:rPr>
        <w:t>privacy setting</w:t>
      </w:r>
      <w:r w:rsidRPr="003F41EC">
        <w:rPr>
          <w:rFonts w:ascii="Times New Roman" w:hAnsi="Times New Roman" w:cs="Times New Roman"/>
        </w:rPr>
        <w:t xml:space="preserve"> prescelti, essere in parte accessibile anche dagli altri utenti della rete. Le pagine sono popolate di immagini, testi, musiche e contenuti che possono restare oggetto di fruizione puramente privata; ma anche assumere carattere commerciale, quando le pagine in questione ospitino pubblicità </w:t>
      </w:r>
      <w:proofErr w:type="gramStart"/>
      <w:r w:rsidRPr="003F41EC">
        <w:rPr>
          <w:rFonts w:ascii="Times New Roman" w:hAnsi="Times New Roman" w:cs="Times New Roman"/>
        </w:rPr>
        <w:t>ed</w:t>
      </w:r>
      <w:proofErr w:type="gramEnd"/>
      <w:r w:rsidRPr="003F41EC">
        <w:rPr>
          <w:rFonts w:ascii="Times New Roman" w:hAnsi="Times New Roman" w:cs="Times New Roman"/>
        </w:rPr>
        <w:t xml:space="preserve">, ancor più, partecipino del reddito da questa generato. Anche la figura del consumatore, in questo contesto nuovo, si arricchisce: l’utente della rete non è più pubblico passivo, </w:t>
      </w:r>
      <w:r>
        <w:rPr>
          <w:rFonts w:ascii="Times New Roman" w:hAnsi="Times New Roman" w:cs="Times New Roman"/>
        </w:rPr>
        <w:t xml:space="preserve">semplice </w:t>
      </w:r>
      <w:r w:rsidRPr="003F41EC">
        <w:rPr>
          <w:rFonts w:ascii="Times New Roman" w:hAnsi="Times New Roman" w:cs="Times New Roman"/>
        </w:rPr>
        <w:t xml:space="preserve">destinatario delle iniziative delle imprese, ma è co-protagonista: </w:t>
      </w:r>
      <w:r>
        <w:rPr>
          <w:rFonts w:ascii="Times New Roman" w:hAnsi="Times New Roman" w:cs="Times New Roman"/>
        </w:rPr>
        <w:t xml:space="preserve">come si </w:t>
      </w:r>
      <w:proofErr w:type="spellStart"/>
      <w:r>
        <w:rPr>
          <w:rFonts w:ascii="Times New Roman" w:hAnsi="Times New Roman" w:cs="Times New Roman"/>
        </w:rPr>
        <w:t>suol</w:t>
      </w:r>
      <w:proofErr w:type="spellEnd"/>
      <w:r>
        <w:rPr>
          <w:rFonts w:ascii="Times New Roman" w:hAnsi="Times New Roman" w:cs="Times New Roman"/>
        </w:rPr>
        <w:t xml:space="preserve"> dire, </w:t>
      </w:r>
      <w:proofErr w:type="spellStart"/>
      <w:r w:rsidRPr="003F41EC">
        <w:rPr>
          <w:rFonts w:ascii="Times New Roman" w:hAnsi="Times New Roman" w:cs="Times New Roman"/>
          <w:i/>
        </w:rPr>
        <w:t>prosumer</w:t>
      </w:r>
      <w:proofErr w:type="spellEnd"/>
      <w:r w:rsidRPr="003F41EC">
        <w:rPr>
          <w:rFonts w:ascii="Times New Roman" w:hAnsi="Times New Roman" w:cs="Times New Roman"/>
          <w:i/>
        </w:rPr>
        <w:t xml:space="preserve"> </w:t>
      </w:r>
      <w:r w:rsidRPr="003F41EC">
        <w:rPr>
          <w:rFonts w:ascii="Times New Roman" w:hAnsi="Times New Roman" w:cs="Times New Roman"/>
        </w:rPr>
        <w:t xml:space="preserve">che combina in sé le caratteristiche del produttore e del consumatore, come del resto attestato anche dalla presenza </w:t>
      </w:r>
      <w:r>
        <w:rPr>
          <w:rFonts w:ascii="Times New Roman" w:hAnsi="Times New Roman" w:cs="Times New Roman"/>
        </w:rPr>
        <w:t xml:space="preserve">massiccia </w:t>
      </w:r>
      <w:r w:rsidRPr="003F41EC">
        <w:rPr>
          <w:rFonts w:ascii="Times New Roman" w:hAnsi="Times New Roman" w:cs="Times New Roman"/>
        </w:rPr>
        <w:t xml:space="preserve">di </w:t>
      </w:r>
      <w:r w:rsidRPr="003F41EC">
        <w:rPr>
          <w:rFonts w:ascii="Times New Roman" w:hAnsi="Times New Roman" w:cs="Times New Roman"/>
          <w:i/>
        </w:rPr>
        <w:t xml:space="preserve">user </w:t>
      </w:r>
      <w:proofErr w:type="spellStart"/>
      <w:r w:rsidRPr="003F41EC">
        <w:rPr>
          <w:rFonts w:ascii="Times New Roman" w:hAnsi="Times New Roman" w:cs="Times New Roman"/>
          <w:i/>
        </w:rPr>
        <w:t>generated</w:t>
      </w:r>
      <w:proofErr w:type="spellEnd"/>
      <w:r w:rsidRPr="003F41EC">
        <w:rPr>
          <w:rFonts w:ascii="Times New Roman" w:hAnsi="Times New Roman" w:cs="Times New Roman"/>
          <w:i/>
        </w:rPr>
        <w:t xml:space="preserve"> </w:t>
      </w:r>
      <w:proofErr w:type="spellStart"/>
      <w:r w:rsidRPr="003F41EC">
        <w:rPr>
          <w:rFonts w:ascii="Times New Roman" w:hAnsi="Times New Roman" w:cs="Times New Roman"/>
          <w:i/>
        </w:rPr>
        <w:t>content</w:t>
      </w:r>
      <w:proofErr w:type="spellEnd"/>
      <w:r w:rsidRPr="003F41EC">
        <w:rPr>
          <w:rFonts w:ascii="Times New Roman" w:hAnsi="Times New Roman" w:cs="Times New Roman"/>
          <w:i/>
        </w:rPr>
        <w:t xml:space="preserve"> </w:t>
      </w:r>
      <w:r w:rsidRPr="003F41EC">
        <w:rPr>
          <w:rFonts w:ascii="Times New Roman" w:hAnsi="Times New Roman" w:cs="Times New Roman"/>
        </w:rPr>
        <w:t>in rete</w:t>
      </w:r>
      <w:r>
        <w:rPr>
          <w:rFonts w:ascii="Times New Roman" w:hAnsi="Times New Roman" w:cs="Times New Roman"/>
        </w:rPr>
        <w:t xml:space="preserve"> </w:t>
      </w:r>
      <w:r>
        <w:rPr>
          <w:rStyle w:val="Rimandonotaapidipagina"/>
          <w:rFonts w:ascii="Times New Roman" w:hAnsi="Times New Roman" w:cs="Times New Roman"/>
        </w:rPr>
        <w:footnoteReference w:id="3"/>
      </w:r>
      <w:r w:rsidRPr="003F41EC">
        <w:rPr>
          <w:rFonts w:ascii="Times New Roman" w:hAnsi="Times New Roman" w:cs="Times New Roman"/>
        </w:rPr>
        <w:t xml:space="preserve">. </w:t>
      </w:r>
    </w:p>
    <w:p w14:paraId="6C974917" w14:textId="77777777" w:rsidR="00523ECC" w:rsidRPr="003F41EC" w:rsidRDefault="00523ECC" w:rsidP="00523ECC">
      <w:pPr>
        <w:spacing w:after="0" w:line="240" w:lineRule="auto"/>
        <w:ind w:firstLine="708"/>
        <w:jc w:val="both"/>
        <w:rPr>
          <w:rFonts w:ascii="Times New Roman" w:hAnsi="Times New Roman" w:cs="Times New Roman"/>
        </w:rPr>
      </w:pPr>
      <w:r w:rsidRPr="003F41EC">
        <w:rPr>
          <w:rFonts w:ascii="Times New Roman" w:hAnsi="Times New Roman" w:cs="Times New Roman"/>
        </w:rPr>
        <w:t>Secondo alcuni studiosi questa evoluzione porterebbe in sé i germi dell’</w:t>
      </w:r>
      <w:r w:rsidRPr="003F41EC">
        <w:rPr>
          <w:rFonts w:ascii="Times New Roman" w:hAnsi="Times New Roman" w:cs="Times New Roman"/>
          <w:i/>
        </w:rPr>
        <w:t xml:space="preserve">anarchia incontrollata </w:t>
      </w:r>
      <w:r w:rsidRPr="003F41EC">
        <w:rPr>
          <w:rFonts w:ascii="Times New Roman" w:hAnsi="Times New Roman" w:cs="Times New Roman"/>
        </w:rPr>
        <w:t>nell’uso dei marchi</w:t>
      </w:r>
      <w:r>
        <w:rPr>
          <w:rFonts w:ascii="Times New Roman" w:hAnsi="Times New Roman" w:cs="Times New Roman"/>
        </w:rPr>
        <w:t xml:space="preserve"> </w:t>
      </w:r>
      <w:r w:rsidRPr="003F41EC">
        <w:rPr>
          <w:rStyle w:val="Rimandonotaapidipagina"/>
          <w:rFonts w:ascii="Times New Roman" w:hAnsi="Times New Roman" w:cs="Times New Roman"/>
        </w:rPr>
        <w:footnoteReference w:id="4"/>
      </w:r>
      <w:r w:rsidRPr="003F41EC">
        <w:rPr>
          <w:rFonts w:ascii="Times New Roman" w:hAnsi="Times New Roman" w:cs="Times New Roman"/>
        </w:rPr>
        <w:t xml:space="preserve">. Le imprese, che sempre hanno puntato su di uno stretto controllo sull’universo semantico entro il quale offrono i propri beni e servizi, si troverebbero ora invece esposte ad iniziative incontrollate ed incontrollabili da parte degli utenti della rete. La catena Pizza </w:t>
      </w:r>
      <w:proofErr w:type="spellStart"/>
      <w:r w:rsidRPr="003F41EC">
        <w:rPr>
          <w:rFonts w:ascii="Times New Roman" w:hAnsi="Times New Roman" w:cs="Times New Roman"/>
        </w:rPr>
        <w:t>Hut</w:t>
      </w:r>
      <w:proofErr w:type="spellEnd"/>
      <w:r w:rsidRPr="003F41EC">
        <w:rPr>
          <w:rFonts w:ascii="Times New Roman" w:hAnsi="Times New Roman" w:cs="Times New Roman"/>
        </w:rPr>
        <w:t xml:space="preserve"> ben poco potrebbe fare per contrastare la diffusione virale su </w:t>
      </w:r>
      <w:proofErr w:type="spellStart"/>
      <w:r w:rsidRPr="003F41EC">
        <w:rPr>
          <w:rFonts w:ascii="Times New Roman" w:hAnsi="Times New Roman" w:cs="Times New Roman"/>
        </w:rPr>
        <w:t>You</w:t>
      </w:r>
      <w:proofErr w:type="spellEnd"/>
      <w:r w:rsidRPr="003F41EC">
        <w:rPr>
          <w:rFonts w:ascii="Times New Roman" w:hAnsi="Times New Roman" w:cs="Times New Roman"/>
        </w:rPr>
        <w:t xml:space="preserve"> Tube di un video</w:t>
      </w:r>
      <w:r>
        <w:rPr>
          <w:rFonts w:ascii="Times New Roman" w:hAnsi="Times New Roman" w:cs="Times New Roman"/>
        </w:rPr>
        <w:t>, fittizio perché creato a bella posta,</w:t>
      </w:r>
      <w:r w:rsidRPr="003F41EC">
        <w:rPr>
          <w:rFonts w:ascii="Times New Roman" w:hAnsi="Times New Roman" w:cs="Times New Roman"/>
        </w:rPr>
        <w:t xml:space="preserve"> che mostra i comportamenti sconci perpetrati dai fattorini sulle pizze in corso di consegna; e Heineken non potrebbe che abbozzare, quando un video altrettanto virale affondi il lancio di una birra a basso tenore alcolico presentandola come bevanda tipica dei “perdenti”</w:t>
      </w:r>
      <w:r>
        <w:rPr>
          <w:rFonts w:ascii="Times New Roman" w:hAnsi="Times New Roman" w:cs="Times New Roman"/>
        </w:rPr>
        <w:t xml:space="preserve"> </w:t>
      </w:r>
      <w:r w:rsidRPr="003F41EC">
        <w:rPr>
          <w:rStyle w:val="Rimandonotaapidipagina"/>
          <w:rFonts w:ascii="Times New Roman" w:hAnsi="Times New Roman" w:cs="Times New Roman"/>
        </w:rPr>
        <w:footnoteReference w:id="5"/>
      </w:r>
      <w:r w:rsidRPr="003F41EC">
        <w:rPr>
          <w:rFonts w:ascii="Times New Roman" w:hAnsi="Times New Roman" w:cs="Times New Roman"/>
        </w:rPr>
        <w:t>. In questi, ed altri casi, il dato nuovo sarebbe costituito dalla impotenza dei titolari dei marchi: i quali non potrebbero reagire, non tanto e non solo perché l’uso non autorizzato del segno potrebbe essere privo di connotazioni commerciali e quindi sottratto all’azione di contraffazione, quanto e soprattutto perché l’iniziativa giudiziaria non sarebbe “scalabile”. Se, infatti, è pensabile reagire giudiziariamente alla violazione ad opera di un singolo imprenditore concorrente, diventa praticamente impossibile attivare rimedi giurisdizionali per tutti i casi di impieghi non autorizzati da parte di utenti della rete.</w:t>
      </w:r>
    </w:p>
    <w:p w14:paraId="02DBDA7D" w14:textId="77777777" w:rsidR="00523ECC" w:rsidRPr="003F41EC" w:rsidRDefault="00523ECC" w:rsidP="00523ECC">
      <w:pPr>
        <w:spacing w:after="0" w:line="240" w:lineRule="auto"/>
        <w:ind w:firstLine="708"/>
        <w:jc w:val="both"/>
        <w:rPr>
          <w:rFonts w:ascii="Times New Roman" w:hAnsi="Times New Roman" w:cs="Times New Roman"/>
        </w:rPr>
      </w:pPr>
      <w:r w:rsidRPr="003F41EC">
        <w:rPr>
          <w:rFonts w:ascii="Times New Roman" w:hAnsi="Times New Roman" w:cs="Times New Roman"/>
        </w:rPr>
        <w:t xml:space="preserve">A questa visione se ne contrappone, per la verità, un’altra di segno </w:t>
      </w:r>
      <w:r>
        <w:rPr>
          <w:rFonts w:ascii="Times New Roman" w:hAnsi="Times New Roman" w:cs="Times New Roman"/>
        </w:rPr>
        <w:t xml:space="preserve">diametralmente </w:t>
      </w:r>
      <w:r w:rsidRPr="003F41EC">
        <w:rPr>
          <w:rFonts w:ascii="Times New Roman" w:hAnsi="Times New Roman" w:cs="Times New Roman"/>
        </w:rPr>
        <w:t>opposto. Secondo questa seconda prospettiva</w:t>
      </w:r>
      <w:r w:rsidRPr="003F41EC">
        <w:rPr>
          <w:rStyle w:val="Rimandonotaapidipagina"/>
          <w:rFonts w:ascii="Times New Roman" w:hAnsi="Times New Roman" w:cs="Times New Roman"/>
        </w:rPr>
        <w:footnoteReference w:id="6"/>
      </w:r>
      <w:r w:rsidRPr="003F41EC">
        <w:rPr>
          <w:rFonts w:ascii="Times New Roman" w:hAnsi="Times New Roman" w:cs="Times New Roman"/>
        </w:rPr>
        <w:t xml:space="preserve">, con l’avvento dei </w:t>
      </w:r>
      <w:r w:rsidRPr="003F41EC">
        <w:rPr>
          <w:rFonts w:ascii="Times New Roman" w:hAnsi="Times New Roman" w:cs="Times New Roman"/>
          <w:i/>
        </w:rPr>
        <w:t>social media</w:t>
      </w:r>
      <w:r w:rsidRPr="003F41EC">
        <w:rPr>
          <w:rFonts w:ascii="Times New Roman" w:hAnsi="Times New Roman" w:cs="Times New Roman"/>
        </w:rPr>
        <w:t xml:space="preserve"> si realizzerebbe in maniera totale l’aspirazione profonda dei titolari dei marchi di realizzare un </w:t>
      </w:r>
      <w:r w:rsidRPr="003F41EC">
        <w:rPr>
          <w:rFonts w:ascii="Times New Roman" w:hAnsi="Times New Roman" w:cs="Times New Roman"/>
          <w:i/>
        </w:rPr>
        <w:t>controllo totale</w:t>
      </w:r>
      <w:r w:rsidRPr="003F41EC">
        <w:rPr>
          <w:rFonts w:ascii="Times New Roman" w:hAnsi="Times New Roman" w:cs="Times New Roman"/>
        </w:rPr>
        <w:t xml:space="preserve"> sui propri </w:t>
      </w:r>
      <w:proofErr w:type="gramStart"/>
      <w:r w:rsidRPr="003F41EC">
        <w:rPr>
          <w:rFonts w:ascii="Times New Roman" w:hAnsi="Times New Roman" w:cs="Times New Roman"/>
          <w:i/>
        </w:rPr>
        <w:t>brand</w:t>
      </w:r>
      <w:proofErr w:type="gramEnd"/>
      <w:r w:rsidRPr="003F41EC">
        <w:rPr>
          <w:rFonts w:ascii="Times New Roman" w:hAnsi="Times New Roman" w:cs="Times New Roman"/>
          <w:i/>
        </w:rPr>
        <w:t xml:space="preserve"> </w:t>
      </w:r>
      <w:r w:rsidRPr="003F41EC">
        <w:rPr>
          <w:rFonts w:ascii="Times New Roman" w:hAnsi="Times New Roman" w:cs="Times New Roman"/>
        </w:rPr>
        <w:t xml:space="preserve">e sulla percezione dei medesimi da parte dei consumatori. A questo esito contribuirebbe il congiunto operare di due fattori distinti ma convergenti: l’impiego delle neuroscienze nel </w:t>
      </w:r>
      <w:r w:rsidRPr="003F41EC">
        <w:rPr>
          <w:rFonts w:ascii="Times New Roman" w:hAnsi="Times New Roman" w:cs="Times New Roman"/>
          <w:i/>
        </w:rPr>
        <w:t xml:space="preserve">marketing </w:t>
      </w:r>
      <w:r w:rsidRPr="003F41EC">
        <w:rPr>
          <w:rFonts w:ascii="Times New Roman" w:hAnsi="Times New Roman" w:cs="Times New Roman"/>
        </w:rPr>
        <w:t xml:space="preserve">e la possibilità di profilazione anche assai fina dei tratti del pubblico di riferimento, la quale, ad es., può giungere a calibrare le offerte sulla </w:t>
      </w:r>
      <w:r>
        <w:rPr>
          <w:rFonts w:ascii="Times New Roman" w:hAnsi="Times New Roman" w:cs="Times New Roman"/>
        </w:rPr>
        <w:t xml:space="preserve">base della </w:t>
      </w:r>
      <w:r w:rsidRPr="003F41EC">
        <w:rPr>
          <w:rFonts w:ascii="Times New Roman" w:hAnsi="Times New Roman" w:cs="Times New Roman"/>
        </w:rPr>
        <w:t>rilevazione e mappatura della fase fertile del ciclo femminile</w:t>
      </w:r>
      <w:r w:rsidRPr="003F41EC">
        <w:rPr>
          <w:rStyle w:val="Rimandonotaapidipagina"/>
          <w:rFonts w:ascii="Times New Roman" w:hAnsi="Times New Roman" w:cs="Times New Roman"/>
        </w:rPr>
        <w:footnoteReference w:id="7"/>
      </w:r>
      <w:r w:rsidRPr="003F41EC">
        <w:rPr>
          <w:rFonts w:ascii="Times New Roman" w:hAnsi="Times New Roman" w:cs="Times New Roman"/>
        </w:rPr>
        <w:t>.</w:t>
      </w:r>
    </w:p>
    <w:p w14:paraId="4759ACE0" w14:textId="77777777" w:rsidR="00523ECC" w:rsidRPr="003F41EC" w:rsidRDefault="00523ECC" w:rsidP="00523ECC">
      <w:pPr>
        <w:spacing w:after="0" w:line="240" w:lineRule="auto"/>
        <w:ind w:firstLine="708"/>
        <w:jc w:val="both"/>
        <w:rPr>
          <w:rFonts w:ascii="Times New Roman" w:hAnsi="Times New Roman" w:cs="Times New Roman"/>
        </w:rPr>
      </w:pPr>
      <w:r w:rsidRPr="003F41EC">
        <w:rPr>
          <w:rFonts w:ascii="Times New Roman" w:hAnsi="Times New Roman" w:cs="Times New Roman"/>
        </w:rPr>
        <w:t xml:space="preserve">È impossibile stabilire quale di queste due ricostruzioni, o, forse, “profezie”, sia più attendibile. Intanto, è troppo presto per azzardare pronostici; e, </w:t>
      </w:r>
      <w:r>
        <w:rPr>
          <w:rFonts w:ascii="Times New Roman" w:hAnsi="Times New Roman" w:cs="Times New Roman"/>
        </w:rPr>
        <w:t>comunque</w:t>
      </w:r>
      <w:r w:rsidRPr="003F41EC">
        <w:rPr>
          <w:rFonts w:ascii="Times New Roman" w:hAnsi="Times New Roman" w:cs="Times New Roman"/>
        </w:rPr>
        <w:t>, questi non convengono a chi, come scrive, sia non un nativo digitale ma un semplice immigrato nel mondo nuovo.</w:t>
      </w:r>
    </w:p>
    <w:p w14:paraId="5649E172" w14:textId="77777777" w:rsidR="00523ECC" w:rsidRPr="003F41EC" w:rsidRDefault="00523ECC" w:rsidP="00523ECC">
      <w:pPr>
        <w:spacing w:after="0" w:line="240" w:lineRule="auto"/>
        <w:ind w:firstLine="708"/>
        <w:jc w:val="both"/>
        <w:rPr>
          <w:rFonts w:ascii="Times New Roman" w:hAnsi="Times New Roman" w:cs="Times New Roman"/>
        </w:rPr>
      </w:pPr>
      <w:r w:rsidRPr="003F41EC">
        <w:rPr>
          <w:rFonts w:ascii="Times New Roman" w:hAnsi="Times New Roman" w:cs="Times New Roman"/>
        </w:rPr>
        <w:t xml:space="preserve">È tuttavia già possibile formulare alcuni iniziali rilievi. </w:t>
      </w:r>
    </w:p>
    <w:p w14:paraId="6B5ABB9C" w14:textId="77777777" w:rsidR="00523ECC" w:rsidRPr="003F41EC" w:rsidRDefault="00523ECC" w:rsidP="00523ECC">
      <w:pPr>
        <w:spacing w:after="0" w:line="240" w:lineRule="auto"/>
        <w:ind w:firstLine="708"/>
        <w:jc w:val="both"/>
        <w:rPr>
          <w:rFonts w:ascii="Times New Roman" w:hAnsi="Times New Roman" w:cs="Times New Roman"/>
        </w:rPr>
      </w:pPr>
      <w:r w:rsidRPr="003F41EC">
        <w:rPr>
          <w:rFonts w:ascii="Times New Roman" w:hAnsi="Times New Roman" w:cs="Times New Roman"/>
        </w:rPr>
        <w:t xml:space="preserve">Il primo attiene alla ricostruzione della grammatica degli interessi sottesi alla disciplina del marchio. L’irruzione dei </w:t>
      </w:r>
      <w:r w:rsidRPr="003F41EC">
        <w:rPr>
          <w:rFonts w:ascii="Times New Roman" w:hAnsi="Times New Roman" w:cs="Times New Roman"/>
          <w:i/>
        </w:rPr>
        <w:t xml:space="preserve">social media </w:t>
      </w:r>
      <w:r w:rsidRPr="003F41EC">
        <w:rPr>
          <w:rFonts w:ascii="Times New Roman" w:hAnsi="Times New Roman" w:cs="Times New Roman"/>
        </w:rPr>
        <w:t>sulla scena sembra in effetti colloca</w:t>
      </w:r>
      <w:r>
        <w:rPr>
          <w:rFonts w:ascii="Times New Roman" w:hAnsi="Times New Roman" w:cs="Times New Roman"/>
        </w:rPr>
        <w:t>r</w:t>
      </w:r>
      <w:r w:rsidRPr="003F41EC">
        <w:rPr>
          <w:rFonts w:ascii="Times New Roman" w:hAnsi="Times New Roman" w:cs="Times New Roman"/>
        </w:rPr>
        <w:t xml:space="preserve">e i consumatori ed il pubblico dei destinatari dei messaggi veicolati in una </w:t>
      </w:r>
      <w:r>
        <w:rPr>
          <w:rFonts w:ascii="Times New Roman" w:hAnsi="Times New Roman" w:cs="Times New Roman"/>
        </w:rPr>
        <w:t>posi</w:t>
      </w:r>
      <w:r w:rsidRPr="003F41EC">
        <w:rPr>
          <w:rFonts w:ascii="Times New Roman" w:hAnsi="Times New Roman" w:cs="Times New Roman"/>
        </w:rPr>
        <w:t xml:space="preserve">zione nuova, al contempo più attiva e più passiva. Più attiva, perché gli utenti della rete assai spesso assumono un ruolo </w:t>
      </w:r>
      <w:r>
        <w:rPr>
          <w:rFonts w:ascii="Times New Roman" w:hAnsi="Times New Roman" w:cs="Times New Roman"/>
        </w:rPr>
        <w:t>pro</w:t>
      </w:r>
      <w:r w:rsidRPr="003F41EC">
        <w:rPr>
          <w:rFonts w:ascii="Times New Roman" w:hAnsi="Times New Roman" w:cs="Times New Roman"/>
        </w:rPr>
        <w:t xml:space="preserve">attivo – ed interattivo – rispetto al </w:t>
      </w:r>
      <w:proofErr w:type="gramStart"/>
      <w:r w:rsidRPr="003F41EC">
        <w:rPr>
          <w:rFonts w:ascii="Times New Roman" w:hAnsi="Times New Roman" w:cs="Times New Roman"/>
          <w:i/>
        </w:rPr>
        <w:t>brand</w:t>
      </w:r>
      <w:proofErr w:type="gramEnd"/>
      <w:r w:rsidRPr="003F41EC">
        <w:rPr>
          <w:rFonts w:ascii="Times New Roman" w:hAnsi="Times New Roman" w:cs="Times New Roman"/>
        </w:rPr>
        <w:t>: da semplici destinatari di messaggi confezionati dalle imprese, essi possono diventare fautori e sostenitori di una certa marca, contribuendo alla creazione di comunità che la propugnano</w:t>
      </w:r>
      <w:r w:rsidRPr="003F41EC">
        <w:rPr>
          <w:rStyle w:val="Rimandonotaapidipagina"/>
          <w:rFonts w:ascii="Times New Roman" w:hAnsi="Times New Roman" w:cs="Times New Roman"/>
        </w:rPr>
        <w:footnoteReference w:id="8"/>
      </w:r>
      <w:r w:rsidRPr="003F41EC">
        <w:rPr>
          <w:rFonts w:ascii="Times New Roman" w:hAnsi="Times New Roman" w:cs="Times New Roman"/>
        </w:rPr>
        <w:t xml:space="preserve">, ma anche critici accesi di un </w:t>
      </w:r>
      <w:r w:rsidRPr="003F41EC">
        <w:rPr>
          <w:rFonts w:ascii="Times New Roman" w:hAnsi="Times New Roman" w:cs="Times New Roman"/>
          <w:i/>
        </w:rPr>
        <w:t>brand</w:t>
      </w:r>
      <w:r w:rsidRPr="003F41EC">
        <w:rPr>
          <w:rFonts w:ascii="Times New Roman" w:hAnsi="Times New Roman" w:cs="Times New Roman"/>
        </w:rPr>
        <w:t xml:space="preserve">. Ma la collocazione del consumatore diviene sotto altri profili più passiva, perché in un ambiente digitale nel quale Stati e piattaforme private raccolgono, archiviano, </w:t>
      </w:r>
      <w:proofErr w:type="spellStart"/>
      <w:r w:rsidRPr="003F41EC">
        <w:rPr>
          <w:rFonts w:ascii="Times New Roman" w:hAnsi="Times New Roman" w:cs="Times New Roman"/>
        </w:rPr>
        <w:t>ri</w:t>
      </w:r>
      <w:proofErr w:type="spellEnd"/>
      <w:r w:rsidRPr="003F41EC">
        <w:rPr>
          <w:rFonts w:ascii="Times New Roman" w:hAnsi="Times New Roman" w:cs="Times New Roman"/>
        </w:rPr>
        <w:t xml:space="preserve">-usano quantità enormi di dati e di </w:t>
      </w:r>
      <w:proofErr w:type="gramStart"/>
      <w:r w:rsidRPr="003F41EC">
        <w:rPr>
          <w:rFonts w:ascii="Times New Roman" w:hAnsi="Times New Roman" w:cs="Times New Roman"/>
        </w:rPr>
        <w:t>meta-dati</w:t>
      </w:r>
      <w:proofErr w:type="gramEnd"/>
      <w:r w:rsidRPr="003F41EC">
        <w:rPr>
          <w:rFonts w:ascii="Times New Roman" w:hAnsi="Times New Roman" w:cs="Times New Roman"/>
        </w:rPr>
        <w:t xml:space="preserve"> su tutti gli </w:t>
      </w:r>
      <w:r w:rsidRPr="003F41EC">
        <w:rPr>
          <w:rFonts w:ascii="Times New Roman" w:hAnsi="Times New Roman" w:cs="Times New Roman"/>
        </w:rPr>
        <w:lastRenderedPageBreak/>
        <w:t>utenti della rete, questi possono diventare – e spesso diventano – bersaglio di operazioni commerciali non trasparenti ed anche discutibili (se, ad es., basate su di una profilazione non dichiarata del “bersaglio”)</w:t>
      </w:r>
      <w:r w:rsidRPr="003F41EC">
        <w:rPr>
          <w:rStyle w:val="Rimandonotaapidipagina"/>
          <w:rFonts w:ascii="Times New Roman" w:hAnsi="Times New Roman" w:cs="Times New Roman"/>
        </w:rPr>
        <w:footnoteReference w:id="9"/>
      </w:r>
      <w:r w:rsidRPr="003F41EC">
        <w:rPr>
          <w:rFonts w:ascii="Times New Roman" w:hAnsi="Times New Roman" w:cs="Times New Roman"/>
        </w:rPr>
        <w:t>.</w:t>
      </w:r>
    </w:p>
    <w:p w14:paraId="12DC50C7" w14:textId="77777777" w:rsidR="00523ECC" w:rsidRPr="003F41EC" w:rsidRDefault="00523ECC" w:rsidP="00523ECC">
      <w:pPr>
        <w:spacing w:after="0" w:line="240" w:lineRule="auto"/>
        <w:ind w:firstLine="708"/>
        <w:jc w:val="both"/>
        <w:rPr>
          <w:rFonts w:ascii="Times New Roman" w:hAnsi="Times New Roman" w:cs="Times New Roman"/>
        </w:rPr>
      </w:pPr>
      <w:r w:rsidRPr="003F41EC">
        <w:rPr>
          <w:rFonts w:ascii="Times New Roman" w:hAnsi="Times New Roman" w:cs="Times New Roman"/>
        </w:rPr>
        <w:t xml:space="preserve">Il secondo attiene al livello cui si colloca la ricerca delle regole avvertite come necessarie per fare fronte alla nuova realtà. La quale, essendo digitale ed </w:t>
      </w:r>
      <w:r w:rsidRPr="003F41EC">
        <w:rPr>
          <w:rFonts w:ascii="Times New Roman" w:hAnsi="Times New Roman" w:cs="Times New Roman"/>
          <w:i/>
        </w:rPr>
        <w:t>online</w:t>
      </w:r>
      <w:r w:rsidRPr="003F41EC">
        <w:rPr>
          <w:rFonts w:ascii="Times New Roman" w:hAnsi="Times New Roman" w:cs="Times New Roman"/>
        </w:rPr>
        <w:t xml:space="preserve">, è globale; il che spiega come mai le soluzioni immaginate e propugnate tendano a collocarsi a livello tendenzialmente planetario, piuttosto che nazionale e regionale. Così, si è immaginata la possibilità di un accordo universale fra titolari dei marchi e operatori di rete (piattaforme e </w:t>
      </w:r>
      <w:r w:rsidRPr="003F41EC">
        <w:rPr>
          <w:rFonts w:ascii="Times New Roman" w:hAnsi="Times New Roman" w:cs="Times New Roman"/>
          <w:i/>
        </w:rPr>
        <w:t>service providers</w:t>
      </w:r>
      <w:r w:rsidRPr="003F41EC">
        <w:rPr>
          <w:rFonts w:ascii="Times New Roman" w:hAnsi="Times New Roman" w:cs="Times New Roman"/>
        </w:rPr>
        <w:t xml:space="preserve">) che subordini la legittimità dell’impiego in rete dei marchi da parte di qualunque utente al </w:t>
      </w:r>
      <w:proofErr w:type="spellStart"/>
      <w:r w:rsidRPr="003F41EC">
        <w:rPr>
          <w:rFonts w:ascii="Times New Roman" w:hAnsi="Times New Roman" w:cs="Times New Roman"/>
        </w:rPr>
        <w:t>ri</w:t>
      </w:r>
      <w:proofErr w:type="spellEnd"/>
      <w:r w:rsidRPr="003F41EC">
        <w:rPr>
          <w:rFonts w:ascii="Times New Roman" w:hAnsi="Times New Roman" w:cs="Times New Roman"/>
        </w:rPr>
        <w:t>-uso dell’originale del logo come immesso dai titolari in un registro digitale globale ed alle sole condizioni da questi autorizzate</w:t>
      </w:r>
      <w:r w:rsidRPr="003F41EC">
        <w:rPr>
          <w:rStyle w:val="Rimandonotaapidipagina"/>
          <w:rFonts w:ascii="Times New Roman" w:hAnsi="Times New Roman" w:cs="Times New Roman"/>
        </w:rPr>
        <w:footnoteReference w:id="10"/>
      </w:r>
      <w:r w:rsidRPr="003F41EC">
        <w:rPr>
          <w:rFonts w:ascii="Times New Roman" w:hAnsi="Times New Roman" w:cs="Times New Roman"/>
        </w:rPr>
        <w:t>. Il “vantaggio” di questo assetto starebbe in ciò, che qualunque uso del marchio non conforme allo schema concordato tra operatori sarebbe soggetto ad essere rimosso “algoritmicamente” e, quindi, in automatico e senza la necessità di scomodare l’autorità giurisdizionale. Queste le proposte che vengono da coloro che denunciano l’</w:t>
      </w:r>
      <w:r w:rsidRPr="003F41EC">
        <w:rPr>
          <w:rFonts w:ascii="Times New Roman" w:hAnsi="Times New Roman" w:cs="Times New Roman"/>
          <w:i/>
        </w:rPr>
        <w:t xml:space="preserve">anarchia incontrollata </w:t>
      </w:r>
      <w:r w:rsidRPr="003F41EC">
        <w:rPr>
          <w:rFonts w:ascii="Times New Roman" w:hAnsi="Times New Roman" w:cs="Times New Roman"/>
        </w:rPr>
        <w:t xml:space="preserve">nell’uso dei marchi in rete; e tuttavia vi sono forti ragioni per cui anche i commentatori che visualizzano il rischio opposto del </w:t>
      </w:r>
      <w:r w:rsidRPr="003F41EC">
        <w:rPr>
          <w:rFonts w:ascii="Times New Roman" w:hAnsi="Times New Roman" w:cs="Times New Roman"/>
          <w:i/>
        </w:rPr>
        <w:t>controllo totale</w:t>
      </w:r>
      <w:r w:rsidRPr="003F41EC">
        <w:rPr>
          <w:rStyle w:val="Rimandonotaapidipagina"/>
          <w:rFonts w:ascii="Times New Roman" w:hAnsi="Times New Roman" w:cs="Times New Roman"/>
        </w:rPr>
        <w:footnoteReference w:id="11"/>
      </w:r>
      <w:r>
        <w:rPr>
          <w:rFonts w:ascii="Times New Roman" w:hAnsi="Times New Roman" w:cs="Times New Roman"/>
          <w:i/>
        </w:rPr>
        <w:t xml:space="preserve"> </w:t>
      </w:r>
      <w:r w:rsidRPr="003F41EC">
        <w:rPr>
          <w:rFonts w:ascii="Times New Roman" w:hAnsi="Times New Roman" w:cs="Times New Roman"/>
        </w:rPr>
        <w:t>si avvedano che i pericoli corrispondenti non possono essere affrontati in ordine sparso dai singoli ordinamenti nazionali</w:t>
      </w:r>
      <w:r>
        <w:rPr>
          <w:rFonts w:ascii="Times New Roman" w:hAnsi="Times New Roman" w:cs="Times New Roman"/>
        </w:rPr>
        <w:t xml:space="preserve"> </w:t>
      </w:r>
      <w:r w:rsidRPr="003F41EC">
        <w:rPr>
          <w:rStyle w:val="Rimandonotaapidipagina"/>
          <w:rFonts w:ascii="Times New Roman" w:hAnsi="Times New Roman" w:cs="Times New Roman"/>
        </w:rPr>
        <w:footnoteReference w:id="12"/>
      </w:r>
      <w:r w:rsidRPr="003F41EC">
        <w:rPr>
          <w:rFonts w:ascii="Times New Roman" w:hAnsi="Times New Roman" w:cs="Times New Roman"/>
        </w:rPr>
        <w:t>.</w:t>
      </w:r>
    </w:p>
    <w:p w14:paraId="29139492" w14:textId="77777777" w:rsidR="00523ECC" w:rsidRPr="003F41EC" w:rsidRDefault="00523ECC" w:rsidP="00523ECC">
      <w:pPr>
        <w:spacing w:after="0" w:line="240" w:lineRule="auto"/>
        <w:ind w:firstLine="708"/>
        <w:jc w:val="both"/>
        <w:rPr>
          <w:rFonts w:ascii="Times New Roman" w:hAnsi="Times New Roman" w:cs="Times New Roman"/>
        </w:rPr>
      </w:pPr>
      <w:r w:rsidRPr="003F41EC">
        <w:rPr>
          <w:rFonts w:ascii="Times New Roman" w:hAnsi="Times New Roman" w:cs="Times New Roman"/>
        </w:rPr>
        <w:t xml:space="preserve">Ancora (ed in terzo luogo): nel nuovo contesto si ripropone nuovamente, e con rinnovata forza, la tendenza a far leva sugli </w:t>
      </w:r>
      <w:r w:rsidRPr="003F41EC">
        <w:rPr>
          <w:rFonts w:ascii="Times New Roman" w:hAnsi="Times New Roman" w:cs="Times New Roman"/>
          <w:i/>
        </w:rPr>
        <w:t>internet service providers</w:t>
      </w:r>
      <w:r w:rsidRPr="003F41EC">
        <w:rPr>
          <w:rFonts w:ascii="Times New Roman" w:hAnsi="Times New Roman" w:cs="Times New Roman"/>
        </w:rPr>
        <w:t xml:space="preserve"> per assicurare il “rispetto delle regole”</w:t>
      </w:r>
      <w:r w:rsidRPr="003F41EC">
        <w:rPr>
          <w:rStyle w:val="Rimandonotaapidipagina"/>
          <w:rFonts w:ascii="Times New Roman" w:hAnsi="Times New Roman" w:cs="Times New Roman"/>
        </w:rPr>
        <w:footnoteReference w:id="13"/>
      </w:r>
      <w:r w:rsidRPr="003F41EC">
        <w:rPr>
          <w:rFonts w:ascii="Times New Roman" w:hAnsi="Times New Roman" w:cs="Times New Roman"/>
        </w:rPr>
        <w:t xml:space="preserve">. Dopo una lunga fase, durata ormai due decenni, nei quali gli </w:t>
      </w:r>
      <w:proofErr w:type="spellStart"/>
      <w:r w:rsidRPr="003F41EC">
        <w:rPr>
          <w:rFonts w:ascii="Times New Roman" w:hAnsi="Times New Roman" w:cs="Times New Roman"/>
          <w:i/>
        </w:rPr>
        <w:t>ISPs</w:t>
      </w:r>
      <w:proofErr w:type="spellEnd"/>
      <w:r w:rsidRPr="003F41EC">
        <w:rPr>
          <w:rFonts w:ascii="Times New Roman" w:hAnsi="Times New Roman" w:cs="Times New Roman"/>
          <w:i/>
        </w:rPr>
        <w:t xml:space="preserve"> </w:t>
      </w:r>
      <w:r w:rsidRPr="003F41EC">
        <w:rPr>
          <w:rFonts w:ascii="Times New Roman" w:hAnsi="Times New Roman" w:cs="Times New Roman"/>
        </w:rPr>
        <w:t xml:space="preserve">sono stati capaci di pretendere ed ottenere aree importanti di esenzione di responsabilità per il comportamento degli utenti, si fanno nuovamente vive le voci che fanno valere che in questo settore dovrebbe operare un regime di responsabilità oggettiva a carico dei </w:t>
      </w:r>
      <w:r w:rsidRPr="003F41EC">
        <w:rPr>
          <w:rFonts w:ascii="Times New Roman" w:hAnsi="Times New Roman" w:cs="Times New Roman"/>
          <w:i/>
        </w:rPr>
        <w:t>providers</w:t>
      </w:r>
      <w:r w:rsidRPr="003F41EC">
        <w:rPr>
          <w:rFonts w:ascii="Times New Roman" w:hAnsi="Times New Roman" w:cs="Times New Roman"/>
        </w:rPr>
        <w:t>.</w:t>
      </w:r>
    </w:p>
    <w:p w14:paraId="6F377A4E" w14:textId="77777777" w:rsidR="00523ECC" w:rsidRPr="003F41EC" w:rsidRDefault="00523ECC" w:rsidP="00523ECC">
      <w:pPr>
        <w:spacing w:after="0" w:line="240" w:lineRule="auto"/>
        <w:ind w:firstLine="708"/>
        <w:jc w:val="both"/>
        <w:rPr>
          <w:rFonts w:ascii="Times New Roman" w:hAnsi="Times New Roman" w:cs="Times New Roman"/>
        </w:rPr>
      </w:pPr>
      <w:r w:rsidRPr="003F41EC">
        <w:rPr>
          <w:rFonts w:ascii="Times New Roman" w:hAnsi="Times New Roman" w:cs="Times New Roman"/>
        </w:rPr>
        <w:t>Nel suo complesso, questa evoluzione solleva quesiti di periodo medio-lungo e breve. Sotto il primo profilo, appare opportuno iniziare a domandarsi se gli sviluppi ora segnalati stiano ad indicare la ricerca di un fondamento nuovo ed ulteriore della protezione dei marchi. Non sorprende che, nella prospettiva di coloro che esprimono allarme per l’</w:t>
      </w:r>
      <w:r w:rsidRPr="003F41EC">
        <w:rPr>
          <w:rFonts w:ascii="Times New Roman" w:hAnsi="Times New Roman" w:cs="Times New Roman"/>
          <w:i/>
        </w:rPr>
        <w:t>anarchia</w:t>
      </w:r>
      <w:r>
        <w:rPr>
          <w:rFonts w:ascii="Times New Roman" w:hAnsi="Times New Roman" w:cs="Times New Roman"/>
          <w:i/>
        </w:rPr>
        <w:t xml:space="preserve"> </w:t>
      </w:r>
      <w:r w:rsidRPr="003F41EC">
        <w:rPr>
          <w:rFonts w:ascii="Times New Roman" w:hAnsi="Times New Roman" w:cs="Times New Roman"/>
          <w:i/>
        </w:rPr>
        <w:t xml:space="preserve">incontrollata </w:t>
      </w:r>
      <w:r w:rsidRPr="003F41EC">
        <w:rPr>
          <w:rFonts w:ascii="Times New Roman" w:hAnsi="Times New Roman" w:cs="Times New Roman"/>
        </w:rPr>
        <w:t xml:space="preserve">nell’impiego in rete dei </w:t>
      </w:r>
      <w:r>
        <w:rPr>
          <w:rFonts w:ascii="Times New Roman" w:hAnsi="Times New Roman" w:cs="Times New Roman"/>
        </w:rPr>
        <w:t>segni distintivi di impresa</w:t>
      </w:r>
      <w:r w:rsidRPr="003F41EC">
        <w:rPr>
          <w:rFonts w:ascii="Times New Roman" w:hAnsi="Times New Roman" w:cs="Times New Roman"/>
        </w:rPr>
        <w:t>, emerga una rivendicazione forte della necessità di una tutela dei profili morali della protezione dei marchi</w:t>
      </w:r>
      <w:r w:rsidRPr="003F41EC">
        <w:rPr>
          <w:rStyle w:val="Rimandonotaapidipagina"/>
          <w:rFonts w:ascii="Times New Roman" w:hAnsi="Times New Roman" w:cs="Times New Roman"/>
        </w:rPr>
        <w:footnoteReference w:id="14"/>
      </w:r>
      <w:r w:rsidRPr="003F41EC">
        <w:rPr>
          <w:rFonts w:ascii="Times New Roman" w:hAnsi="Times New Roman" w:cs="Times New Roman"/>
        </w:rPr>
        <w:t>.</w:t>
      </w:r>
      <w:r>
        <w:rPr>
          <w:rFonts w:ascii="Times New Roman" w:hAnsi="Times New Roman" w:cs="Times New Roman"/>
        </w:rPr>
        <w:t xml:space="preserve"> </w:t>
      </w:r>
      <w:r w:rsidRPr="003F41EC">
        <w:rPr>
          <w:rFonts w:ascii="Times New Roman" w:hAnsi="Times New Roman" w:cs="Times New Roman"/>
        </w:rPr>
        <w:t xml:space="preserve">Si tratta di una prospettiva comprensibile (anche se non necessariamente convincente), se è vero che la partita aperta dai </w:t>
      </w:r>
      <w:r w:rsidRPr="003F41EC">
        <w:rPr>
          <w:rFonts w:ascii="Times New Roman" w:hAnsi="Times New Roman" w:cs="Times New Roman"/>
          <w:i/>
        </w:rPr>
        <w:t>social media</w:t>
      </w:r>
      <w:r w:rsidRPr="003F41EC">
        <w:rPr>
          <w:rFonts w:ascii="Times New Roman" w:hAnsi="Times New Roman" w:cs="Times New Roman"/>
        </w:rPr>
        <w:t xml:space="preserve"> non è solo più quella di garantire la funzione distintiva dei marchi e neppure l’investimento pubblicitario ad essi sotteso, ma di mantenere un controllo (per certi versi fin poliziesco) dell’universo semantico in cui si collocano i segni distintivi dell’impresa.</w:t>
      </w:r>
    </w:p>
    <w:p w14:paraId="3E5BF74D" w14:textId="77777777" w:rsidR="00523ECC" w:rsidRDefault="00523ECC" w:rsidP="00523ECC">
      <w:pPr>
        <w:spacing w:after="0" w:line="240" w:lineRule="auto"/>
        <w:ind w:firstLine="708"/>
        <w:jc w:val="both"/>
      </w:pPr>
      <w:r w:rsidRPr="003F41EC">
        <w:rPr>
          <w:rFonts w:ascii="Times New Roman" w:hAnsi="Times New Roman" w:cs="Times New Roman"/>
        </w:rPr>
        <w:t xml:space="preserve">Questi temi di medio-lungo periodo esorbitano dall’orizzonte temporale in cui si colloca questo trattato (ed il suo autore). </w:t>
      </w:r>
    </w:p>
    <w:p w14:paraId="692B0D47" w14:textId="77777777" w:rsidR="00523ECC" w:rsidRPr="003F41EC" w:rsidRDefault="00523ECC" w:rsidP="00523ECC">
      <w:pPr>
        <w:spacing w:after="0" w:line="240" w:lineRule="auto"/>
        <w:ind w:firstLine="708"/>
        <w:jc w:val="both"/>
        <w:rPr>
          <w:i/>
          <w:szCs w:val="24"/>
        </w:rPr>
      </w:pPr>
      <w:r w:rsidRPr="003F41EC">
        <w:rPr>
          <w:rFonts w:ascii="Times New Roman" w:hAnsi="Times New Roman" w:cs="Times New Roman"/>
        </w:rPr>
        <w:t xml:space="preserve">L’emersione dei </w:t>
      </w:r>
      <w:r w:rsidRPr="003F41EC">
        <w:rPr>
          <w:rFonts w:ascii="Times New Roman" w:hAnsi="Times New Roman" w:cs="Times New Roman"/>
          <w:i/>
        </w:rPr>
        <w:t>social media</w:t>
      </w:r>
      <w:r w:rsidRPr="003F41EC">
        <w:rPr>
          <w:rFonts w:ascii="Times New Roman" w:hAnsi="Times New Roman" w:cs="Times New Roman"/>
        </w:rPr>
        <w:t xml:space="preserve"> ha però già posto sul tappeto una serie di questioni che vanno affrontate già oggi: più precisamente, si tratta di domandarsi quali fra le </w:t>
      </w:r>
      <w:r>
        <w:rPr>
          <w:rFonts w:ascii="Times New Roman" w:hAnsi="Times New Roman" w:cs="Times New Roman"/>
        </w:rPr>
        <w:t xml:space="preserve">modalità di impiego dei segni altrui </w:t>
      </w:r>
      <w:r w:rsidRPr="003F41EC">
        <w:rPr>
          <w:rFonts w:ascii="Times New Roman" w:hAnsi="Times New Roman" w:cs="Times New Roman"/>
        </w:rPr>
        <w:t xml:space="preserve">in concreto </w:t>
      </w:r>
      <w:r>
        <w:rPr>
          <w:rFonts w:ascii="Times New Roman" w:hAnsi="Times New Roman" w:cs="Times New Roman"/>
        </w:rPr>
        <w:t xml:space="preserve">realizzate </w:t>
      </w:r>
      <w:r w:rsidRPr="003F41EC">
        <w:rPr>
          <w:rFonts w:ascii="Times New Roman" w:hAnsi="Times New Roman" w:cs="Times New Roman"/>
        </w:rPr>
        <w:t>in rete costituisc</w:t>
      </w:r>
      <w:r>
        <w:rPr>
          <w:rFonts w:ascii="Times New Roman" w:hAnsi="Times New Roman" w:cs="Times New Roman"/>
        </w:rPr>
        <w:t>a</w:t>
      </w:r>
      <w:r w:rsidRPr="003F41EC">
        <w:rPr>
          <w:rFonts w:ascii="Times New Roman" w:hAnsi="Times New Roman" w:cs="Times New Roman"/>
        </w:rPr>
        <w:t xml:space="preserve">no segni suscettibili di violare gli altrui diritti di marchi e quando il loro impiego avvenga “in commercio” o “nell’attività economica”; di individuare il regime attuale di responsabilità degli </w:t>
      </w:r>
      <w:proofErr w:type="spellStart"/>
      <w:r w:rsidRPr="003F41EC">
        <w:rPr>
          <w:rFonts w:ascii="Times New Roman" w:hAnsi="Times New Roman" w:cs="Times New Roman"/>
          <w:i/>
        </w:rPr>
        <w:lastRenderedPageBreak/>
        <w:t>ISPs</w:t>
      </w:r>
      <w:proofErr w:type="spellEnd"/>
      <w:r w:rsidRPr="003F41EC">
        <w:rPr>
          <w:rFonts w:ascii="Times New Roman" w:hAnsi="Times New Roman" w:cs="Times New Roman"/>
          <w:i/>
        </w:rPr>
        <w:t xml:space="preserve"> </w:t>
      </w:r>
      <w:r w:rsidRPr="003F41EC">
        <w:rPr>
          <w:rFonts w:ascii="Times New Roman" w:hAnsi="Times New Roman" w:cs="Times New Roman"/>
        </w:rPr>
        <w:t>per l’uso di segni da parte degli utenti; e così via. A questi temi, rilevanti già nel breve periodo, sono dedicate alcune fra le pagine che seguiranno</w:t>
      </w:r>
      <w:r w:rsidRPr="003F41EC">
        <w:rPr>
          <w:rStyle w:val="Rimandonotaapidipagina"/>
          <w:rFonts w:ascii="Times New Roman" w:hAnsi="Times New Roman" w:cs="Times New Roman"/>
        </w:rPr>
        <w:footnoteReference w:id="15"/>
      </w:r>
      <w:r w:rsidRPr="003F41EC">
        <w:rPr>
          <w:rFonts w:ascii="Times New Roman" w:hAnsi="Times New Roman" w:cs="Times New Roman"/>
        </w:rPr>
        <w:t>.</w:t>
      </w:r>
    </w:p>
    <w:p w14:paraId="0CF68226" w14:textId="585DA991" w:rsidR="00523ECC" w:rsidRDefault="00523ECC"/>
    <w:p w14:paraId="380DE215" w14:textId="77777777" w:rsidR="00523ECC" w:rsidRPr="007A3A05" w:rsidRDefault="00523ECC" w:rsidP="00523ECC">
      <w:pPr>
        <w:pStyle w:val="Corpotesto"/>
        <w:spacing w:line="240" w:lineRule="auto"/>
        <w:contextualSpacing/>
        <w:outlineLvl w:val="0"/>
        <w:rPr>
          <w:sz w:val="24"/>
          <w:szCs w:val="24"/>
        </w:rPr>
      </w:pPr>
      <w:r w:rsidRPr="00182889">
        <w:rPr>
          <w:sz w:val="24"/>
          <w:szCs w:val="24"/>
        </w:rPr>
        <w:t xml:space="preserve">A. </w:t>
      </w:r>
      <w:r w:rsidRPr="00182889">
        <w:rPr>
          <w:smallCaps/>
          <w:sz w:val="24"/>
          <w:szCs w:val="24"/>
        </w:rPr>
        <w:t>Kur</w:t>
      </w:r>
      <w:r w:rsidRPr="00182889">
        <w:rPr>
          <w:sz w:val="24"/>
          <w:szCs w:val="24"/>
        </w:rPr>
        <w:t xml:space="preserve">, </w:t>
      </w:r>
      <w:r w:rsidRPr="00182889">
        <w:rPr>
          <w:i/>
          <w:sz w:val="24"/>
          <w:szCs w:val="24"/>
        </w:rPr>
        <w:t>Brand Symbols, the Consumer, and the Internet</w:t>
      </w:r>
      <w:r w:rsidRPr="00182889">
        <w:rPr>
          <w:sz w:val="24"/>
          <w:szCs w:val="24"/>
        </w:rPr>
        <w:t>, Max Planck Institute for Innovati</w:t>
      </w:r>
      <w:r w:rsidRPr="007A3A05">
        <w:rPr>
          <w:sz w:val="24"/>
          <w:szCs w:val="24"/>
        </w:rPr>
        <w:t xml:space="preserve">on and Competition Research, Paper No, 16-01 </w:t>
      </w:r>
    </w:p>
    <w:p w14:paraId="07A708EA" w14:textId="77777777" w:rsidR="00523ECC" w:rsidRPr="007A3A05" w:rsidRDefault="00523ECC" w:rsidP="00523ECC">
      <w:pPr>
        <w:pStyle w:val="Corpotesto"/>
        <w:spacing w:line="240" w:lineRule="auto"/>
        <w:contextualSpacing/>
        <w:outlineLvl w:val="0"/>
        <w:rPr>
          <w:b/>
          <w:sz w:val="18"/>
          <w:szCs w:val="18"/>
        </w:rPr>
      </w:pPr>
      <w:r w:rsidRPr="007A3A05">
        <w:rPr>
          <w:sz w:val="18"/>
          <w:szCs w:val="18"/>
        </w:rPr>
        <w:t xml:space="preserve">A. </w:t>
      </w:r>
      <w:r w:rsidRPr="007A3A05">
        <w:rPr>
          <w:smallCaps/>
          <w:sz w:val="18"/>
          <w:szCs w:val="18"/>
        </w:rPr>
        <w:t>Kur</w:t>
      </w:r>
      <w:r w:rsidRPr="007A3A05">
        <w:rPr>
          <w:sz w:val="18"/>
          <w:szCs w:val="18"/>
        </w:rPr>
        <w:t xml:space="preserve">, </w:t>
      </w:r>
      <w:r w:rsidRPr="007A3A05">
        <w:rPr>
          <w:i/>
          <w:sz w:val="18"/>
          <w:szCs w:val="18"/>
        </w:rPr>
        <w:t>Brand Symbols, the Consumer, and the Internet</w:t>
      </w:r>
      <w:r w:rsidRPr="007A3A05">
        <w:rPr>
          <w:sz w:val="18"/>
          <w:szCs w:val="18"/>
        </w:rPr>
        <w:t>, Max Planck Institute for Innovation and Competition Research, Paper No, 16-01</w:t>
      </w:r>
    </w:p>
    <w:p w14:paraId="2E0D9ED9" w14:textId="77777777" w:rsidR="00523ECC" w:rsidRDefault="00523ECC" w:rsidP="00523ECC">
      <w:pPr>
        <w:pStyle w:val="Corpotesto"/>
        <w:spacing w:line="240" w:lineRule="auto"/>
        <w:contextualSpacing/>
        <w:outlineLvl w:val="0"/>
        <w:rPr>
          <w:b/>
          <w:sz w:val="24"/>
          <w:szCs w:val="24"/>
        </w:rPr>
      </w:pPr>
    </w:p>
    <w:p w14:paraId="5B93BA41" w14:textId="77777777" w:rsidR="00523ECC" w:rsidRDefault="00523ECC" w:rsidP="00523ECC">
      <w:pPr>
        <w:pStyle w:val="Corpotesto"/>
        <w:spacing w:line="240" w:lineRule="auto"/>
        <w:contextualSpacing/>
        <w:outlineLvl w:val="0"/>
        <w:rPr>
          <w:b/>
          <w:sz w:val="24"/>
          <w:szCs w:val="24"/>
        </w:rPr>
      </w:pPr>
    </w:p>
    <w:p w14:paraId="4D5D3E22" w14:textId="77777777" w:rsidR="00523ECC" w:rsidRDefault="00523ECC" w:rsidP="00523ECC">
      <w:pPr>
        <w:pStyle w:val="Corpotesto"/>
        <w:spacing w:line="240" w:lineRule="auto"/>
        <w:contextualSpacing/>
        <w:outlineLvl w:val="0"/>
        <w:rPr>
          <w:sz w:val="24"/>
          <w:szCs w:val="24"/>
        </w:rPr>
      </w:pPr>
      <w:r w:rsidRPr="007A3A05">
        <w:rPr>
          <w:b/>
          <w:sz w:val="24"/>
          <w:szCs w:val="24"/>
        </w:rPr>
        <w:t xml:space="preserve">Introduction, </w:t>
      </w:r>
      <w:r w:rsidRPr="007A3A05">
        <w:rPr>
          <w:sz w:val="24"/>
          <w:szCs w:val="24"/>
        </w:rPr>
        <w:t xml:space="preserve">the conventional wisdom: </w:t>
      </w:r>
      <w:proofErr w:type="spellStart"/>
      <w:r w:rsidRPr="007A3A05">
        <w:rPr>
          <w:sz w:val="24"/>
          <w:szCs w:val="24"/>
        </w:rPr>
        <w:t>Landes</w:t>
      </w:r>
      <w:proofErr w:type="spellEnd"/>
      <w:r w:rsidRPr="007A3A05">
        <w:rPr>
          <w:sz w:val="24"/>
          <w:szCs w:val="24"/>
        </w:rPr>
        <w:t xml:space="preserve"> &amp; Posner, </w:t>
      </w:r>
      <w:proofErr w:type="spellStart"/>
      <w:r w:rsidRPr="007A3A05">
        <w:rPr>
          <w:sz w:val="24"/>
          <w:szCs w:val="24"/>
        </w:rPr>
        <w:t>Akerlof</w:t>
      </w:r>
      <w:proofErr w:type="spellEnd"/>
      <w:r w:rsidRPr="007A3A05">
        <w:rPr>
          <w:sz w:val="24"/>
          <w:szCs w:val="24"/>
        </w:rPr>
        <w:t xml:space="preserve"> and all that. From which </w:t>
      </w:r>
      <w:proofErr w:type="gramStart"/>
      <w:r w:rsidRPr="007A3A05">
        <w:rPr>
          <w:sz w:val="24"/>
          <w:szCs w:val="24"/>
        </w:rPr>
        <w:t>follows:</w:t>
      </w:r>
      <w:proofErr w:type="gramEnd"/>
      <w:r w:rsidRPr="007A3A05">
        <w:rPr>
          <w:sz w:val="24"/>
          <w:szCs w:val="24"/>
        </w:rPr>
        <w:t xml:space="preserve"> beneficial effects for competition. And yes, 2 one has to take care that TMs as such do not give competitive advantage </w:t>
      </w:r>
      <w:proofErr w:type="gramStart"/>
      <w:r w:rsidRPr="007A3A05">
        <w:rPr>
          <w:sz w:val="24"/>
          <w:szCs w:val="24"/>
        </w:rPr>
        <w:t>But</w:t>
      </w:r>
      <w:proofErr w:type="gramEnd"/>
      <w:r w:rsidRPr="007A3A05">
        <w:rPr>
          <w:sz w:val="24"/>
          <w:szCs w:val="24"/>
        </w:rPr>
        <w:t xml:space="preserve"> the issue here is different: what when brands cast a spell on consumers? How can the law deal with the “soft coercive power” of TMs? 3 Now, how does the digital environment impact that? Presence also on the allegedly private species of social media; interactivity: consumers engaged but… 4 </w:t>
      </w:r>
      <w:r w:rsidRPr="007A3A05">
        <w:rPr>
          <w:b/>
          <w:sz w:val="24"/>
          <w:szCs w:val="24"/>
        </w:rPr>
        <w:t>II. a factual inquiry</w:t>
      </w:r>
      <w:r w:rsidRPr="007A3A05">
        <w:rPr>
          <w:sz w:val="24"/>
          <w:szCs w:val="24"/>
        </w:rPr>
        <w:t xml:space="preserve">, 1. Brands &amp; neurosciences, footnote 4 going back to Nader and </w:t>
      </w:r>
      <w:proofErr w:type="spellStart"/>
      <w:r w:rsidRPr="007A3A05">
        <w:rPr>
          <w:sz w:val="24"/>
          <w:szCs w:val="24"/>
        </w:rPr>
        <w:t>Ma</w:t>
      </w:r>
      <w:r>
        <w:rPr>
          <w:sz w:val="24"/>
          <w:szCs w:val="24"/>
        </w:rPr>
        <w:t>r</w:t>
      </w:r>
      <w:r w:rsidRPr="007A3A05">
        <w:rPr>
          <w:sz w:val="24"/>
          <w:szCs w:val="24"/>
        </w:rPr>
        <w:t>ke</w:t>
      </w:r>
      <w:proofErr w:type="spellEnd"/>
      <w:r w:rsidRPr="007A3A05">
        <w:rPr>
          <w:sz w:val="24"/>
          <w:szCs w:val="24"/>
        </w:rPr>
        <w:t xml:space="preserve"> und </w:t>
      </w:r>
      <w:proofErr w:type="spellStart"/>
      <w:proofErr w:type="gramStart"/>
      <w:r w:rsidRPr="007A3A05">
        <w:rPr>
          <w:sz w:val="24"/>
          <w:szCs w:val="24"/>
        </w:rPr>
        <w:t>Verbraucher</w:t>
      </w:r>
      <w:proofErr w:type="spellEnd"/>
      <w:r w:rsidRPr="007A3A05">
        <w:rPr>
          <w:sz w:val="24"/>
          <w:szCs w:val="24"/>
        </w:rPr>
        <w:t>,  and</w:t>
      </w:r>
      <w:proofErr w:type="gramEnd"/>
      <w:r w:rsidRPr="007A3A05">
        <w:rPr>
          <w:sz w:val="24"/>
          <w:szCs w:val="24"/>
        </w:rPr>
        <w:t xml:space="preserve"> footnote 5 the 2012 issue of the Journal of Consumer Psychology, suggested by </w:t>
      </w:r>
      <w:proofErr w:type="spellStart"/>
      <w:r w:rsidRPr="007A3A05">
        <w:rPr>
          <w:sz w:val="24"/>
          <w:szCs w:val="24"/>
        </w:rPr>
        <w:t>Drahos</w:t>
      </w:r>
      <w:proofErr w:type="spellEnd"/>
      <w:r w:rsidRPr="007A3A05">
        <w:rPr>
          <w:sz w:val="24"/>
          <w:szCs w:val="24"/>
        </w:rPr>
        <w:t xml:space="preserve"> 5 the preattentional scan paths Familiar brands: information retrieval rather than decoding Pallidum v Insula! </w:t>
      </w:r>
      <w:proofErr w:type="gramStart"/>
      <w:r w:rsidRPr="007A3A05">
        <w:rPr>
          <w:sz w:val="24"/>
          <w:szCs w:val="24"/>
        </w:rPr>
        <w:t>Taste perception,</w:t>
      </w:r>
      <w:proofErr w:type="gramEnd"/>
      <w:r w:rsidRPr="007A3A05">
        <w:rPr>
          <w:sz w:val="24"/>
          <w:szCs w:val="24"/>
        </w:rPr>
        <w:t xml:space="preserve"> think about coffee 6 Coherence of elements 7 Magnetic resonance imaging 2. Consequences with a view to the digital environment, </w:t>
      </w:r>
      <w:proofErr w:type="gramStart"/>
      <w:r w:rsidRPr="007A3A05">
        <w:rPr>
          <w:sz w:val="24"/>
          <w:szCs w:val="24"/>
        </w:rPr>
        <w:t>Enter</w:t>
      </w:r>
      <w:proofErr w:type="gramEnd"/>
      <w:r w:rsidRPr="007A3A05">
        <w:rPr>
          <w:sz w:val="24"/>
          <w:szCs w:val="24"/>
        </w:rPr>
        <w:t xml:space="preserve"> neuromarketing plus </w:t>
      </w:r>
      <w:proofErr w:type="spellStart"/>
      <w:r w:rsidRPr="007A3A05">
        <w:rPr>
          <w:sz w:val="24"/>
          <w:szCs w:val="24"/>
        </w:rPr>
        <w:t>i</w:t>
      </w:r>
      <w:proofErr w:type="spellEnd"/>
      <w:r w:rsidRPr="007A3A05">
        <w:rPr>
          <w:sz w:val="24"/>
          <w:szCs w:val="24"/>
        </w:rPr>
        <w:t xml:space="preserve">. internet enabling holistic experience of brands; and ii. community Big 8 data; segmentation and neurosciences Female consumption patterns and fertile phase Surveillance! Yes 9 we do have a buy button 3. Interactivity as an antidote? Look also at Greenpeace against Shell 10 Business’ quick reaction strategy [well FT shows cases in which this may misfire] Nutella and the forbidden language software 11 Could unknown brands go viral: Gangnam style for brands? 12 how about ratings? III. Legal issues, 1. Overview, 13 2. Ubiquity, 2.1. territorial right </w:t>
      </w:r>
      <w:proofErr w:type="gramStart"/>
      <w:r w:rsidRPr="007A3A05">
        <w:rPr>
          <w:sz w:val="24"/>
          <w:szCs w:val="24"/>
        </w:rPr>
        <w:t>in  global</w:t>
      </w:r>
      <w:proofErr w:type="gramEnd"/>
      <w:r w:rsidRPr="007A3A05">
        <w:rPr>
          <w:sz w:val="24"/>
          <w:szCs w:val="24"/>
        </w:rPr>
        <w:t xml:space="preserve"> marketplace, where a. in TM law as opposed to copyright we have more of a conflict of rights than of laws, bravo Annette! See already the WIPO joint recommendation 2001 Not only perceivable but commercial impact Contrast US Zippo (1997) to EU where </w:t>
      </w:r>
      <w:proofErr w:type="spellStart"/>
      <w:r w:rsidRPr="007A3A05">
        <w:rPr>
          <w:sz w:val="24"/>
          <w:szCs w:val="24"/>
        </w:rPr>
        <w:t>i</w:t>
      </w:r>
      <w:proofErr w:type="spellEnd"/>
      <w:r w:rsidRPr="007A3A05">
        <w:rPr>
          <w:sz w:val="24"/>
          <w:szCs w:val="24"/>
        </w:rPr>
        <w:t xml:space="preserve">. jurisdiction is based on protection in the forum state (quoting Corte UE 19 </w:t>
      </w:r>
      <w:proofErr w:type="spellStart"/>
      <w:r w:rsidRPr="007A3A05">
        <w:rPr>
          <w:sz w:val="24"/>
          <w:szCs w:val="24"/>
        </w:rPr>
        <w:t>aprile</w:t>
      </w:r>
      <w:proofErr w:type="spellEnd"/>
      <w:r w:rsidRPr="007A3A05">
        <w:rPr>
          <w:sz w:val="24"/>
          <w:szCs w:val="24"/>
        </w:rPr>
        <w:t xml:space="preserve"> 2012, causa C-523/10, </w:t>
      </w:r>
      <w:proofErr w:type="spellStart"/>
      <w:r w:rsidRPr="007A3A05">
        <w:rPr>
          <w:sz w:val="24"/>
          <w:szCs w:val="24"/>
        </w:rPr>
        <w:t>Wintersteiger</w:t>
      </w:r>
      <w:proofErr w:type="spellEnd"/>
      <w:r w:rsidRPr="007A3A05">
        <w:rPr>
          <w:sz w:val="24"/>
          <w:szCs w:val="24"/>
        </w:rPr>
        <w:t xml:space="preserve"> c. Products 4U </w:t>
      </w:r>
      <w:proofErr w:type="spellStart"/>
      <w:r w:rsidRPr="007A3A05">
        <w:rPr>
          <w:sz w:val="24"/>
          <w:szCs w:val="24"/>
        </w:rPr>
        <w:t>Sondermaschinenbau</w:t>
      </w:r>
      <w:proofErr w:type="spellEnd"/>
      <w:r w:rsidRPr="007A3A05">
        <w:rPr>
          <w:sz w:val="24"/>
          <w:szCs w:val="24"/>
        </w:rPr>
        <w:t xml:space="preserve"> GmbH, </w:t>
      </w:r>
      <w:proofErr w:type="spellStart"/>
      <w:r w:rsidRPr="007A3A05">
        <w:rPr>
          <w:sz w:val="24"/>
          <w:szCs w:val="24"/>
        </w:rPr>
        <w:t>caso</w:t>
      </w:r>
      <w:proofErr w:type="spellEnd"/>
      <w:r w:rsidRPr="007A3A05">
        <w:rPr>
          <w:sz w:val="24"/>
          <w:szCs w:val="24"/>
        </w:rPr>
        <w:t xml:space="preserve"> «</w:t>
      </w:r>
      <w:proofErr w:type="spellStart"/>
      <w:r w:rsidRPr="007A3A05">
        <w:rPr>
          <w:sz w:val="24"/>
          <w:szCs w:val="24"/>
        </w:rPr>
        <w:t>Wintersteiger</w:t>
      </w:r>
      <w:proofErr w:type="spellEnd"/>
      <w:r w:rsidRPr="007A3A05">
        <w:rPr>
          <w:sz w:val="24"/>
          <w:szCs w:val="24"/>
        </w:rPr>
        <w:t xml:space="preserve">» and Corte UE 3 </w:t>
      </w:r>
      <w:proofErr w:type="spellStart"/>
      <w:r w:rsidRPr="007A3A05">
        <w:rPr>
          <w:sz w:val="24"/>
          <w:szCs w:val="24"/>
        </w:rPr>
        <w:t>ottobre</w:t>
      </w:r>
      <w:proofErr w:type="spellEnd"/>
      <w:r w:rsidRPr="007A3A05">
        <w:rPr>
          <w:sz w:val="24"/>
          <w:szCs w:val="24"/>
        </w:rPr>
        <w:t xml:space="preserve"> 2013, </w:t>
      </w:r>
      <w:proofErr w:type="spellStart"/>
      <w:r w:rsidRPr="007A3A05">
        <w:rPr>
          <w:sz w:val="24"/>
          <w:szCs w:val="24"/>
        </w:rPr>
        <w:t>caso</w:t>
      </w:r>
      <w:proofErr w:type="spellEnd"/>
      <w:r w:rsidRPr="007A3A05">
        <w:rPr>
          <w:sz w:val="24"/>
          <w:szCs w:val="24"/>
        </w:rPr>
        <w:t xml:space="preserve"> C-170/12, Pinckney c. </w:t>
      </w:r>
      <w:proofErr w:type="spellStart"/>
      <w:r w:rsidRPr="007A3A05">
        <w:rPr>
          <w:sz w:val="24"/>
          <w:szCs w:val="24"/>
        </w:rPr>
        <w:t>Mediatech</w:t>
      </w:r>
      <w:proofErr w:type="spellEnd"/>
      <w:r w:rsidRPr="007A3A05">
        <w:rPr>
          <w:sz w:val="24"/>
          <w:szCs w:val="24"/>
        </w:rPr>
        <w:t>); and then ii. the Court seized must decide whether the territory was targeted 14 Other issues: are right</w:t>
      </w:r>
      <w:r>
        <w:rPr>
          <w:sz w:val="24"/>
          <w:szCs w:val="24"/>
        </w:rPr>
        <w:t>s</w:t>
      </w:r>
      <w:r w:rsidRPr="007A3A05">
        <w:rPr>
          <w:sz w:val="24"/>
          <w:szCs w:val="24"/>
        </w:rPr>
        <w:t xml:space="preserve"> acquired through use </w:t>
      </w:r>
      <w:proofErr w:type="gramStart"/>
      <w:r w:rsidRPr="007A3A05">
        <w:rPr>
          <w:sz w:val="24"/>
          <w:szCs w:val="24"/>
        </w:rPr>
        <w:t>in</w:t>
      </w:r>
      <w:proofErr w:type="gramEnd"/>
      <w:r w:rsidRPr="007A3A05">
        <w:rPr>
          <w:sz w:val="24"/>
          <w:szCs w:val="24"/>
        </w:rPr>
        <w:t xml:space="preserve"> the internet (I remember that EUC </w:t>
      </w:r>
      <w:proofErr w:type="spellStart"/>
      <w:r w:rsidRPr="007A3A05">
        <w:rPr>
          <w:sz w:val="24"/>
          <w:szCs w:val="24"/>
        </w:rPr>
        <w:t>Ponci</w:t>
      </w:r>
      <w:proofErr w:type="spellEnd"/>
      <w:r w:rsidRPr="007A3A05">
        <w:rPr>
          <w:sz w:val="24"/>
          <w:szCs w:val="24"/>
        </w:rPr>
        <w:t xml:space="preserve"> Leon or something); b. c. is it genuine use? How to keep the later sign out: </w:t>
      </w:r>
      <w:proofErr w:type="spellStart"/>
      <w:r w:rsidRPr="007A3A05">
        <w:rPr>
          <w:sz w:val="24"/>
          <w:szCs w:val="24"/>
        </w:rPr>
        <w:t>geoblocking</w:t>
      </w:r>
      <w:proofErr w:type="spellEnd"/>
      <w:r w:rsidRPr="007A3A05">
        <w:rPr>
          <w:sz w:val="24"/>
          <w:szCs w:val="24"/>
        </w:rPr>
        <w:t xml:space="preserve"> and all that with a footnote 31 quoting Trimble Also used by TM holders to segregate markets (with a quotation of G. </w:t>
      </w:r>
      <w:proofErr w:type="spellStart"/>
      <w:r w:rsidRPr="007A3A05">
        <w:rPr>
          <w:sz w:val="24"/>
          <w:szCs w:val="24"/>
        </w:rPr>
        <w:t>Dinwoodie</w:t>
      </w:r>
      <w:proofErr w:type="spellEnd"/>
      <w:r w:rsidRPr="007A3A05">
        <w:rPr>
          <w:sz w:val="24"/>
          <w:szCs w:val="24"/>
        </w:rPr>
        <w:t xml:space="preserve">, R. Dreyfuss &amp; A. Kur, The law applicable to secondary liability in intellectual property infringement cases, 42 NYU JILP (2009), 201 202-235) and block parallel imports 15 Re-territorializing the internet by technological means 2.2. trade in counterfeit goods, which calls for customs a. Is importation by the consumer infringement? </w:t>
      </w:r>
      <w:proofErr w:type="spellStart"/>
      <w:r w:rsidRPr="00E32DF2">
        <w:rPr>
          <w:sz w:val="24"/>
          <w:szCs w:val="24"/>
          <w:lang w:val="it-IT"/>
        </w:rPr>
        <w:t>Indeed</w:t>
      </w:r>
      <w:proofErr w:type="spellEnd"/>
      <w:r w:rsidRPr="00E32DF2">
        <w:rPr>
          <w:sz w:val="24"/>
          <w:szCs w:val="24"/>
          <w:lang w:val="it-IT"/>
        </w:rPr>
        <w:t xml:space="preserve"> Corte UE 6 febbraio 2014, causa C-98/13, Martin </w:t>
      </w:r>
      <w:proofErr w:type="spellStart"/>
      <w:r w:rsidRPr="00E32DF2">
        <w:rPr>
          <w:sz w:val="24"/>
          <w:szCs w:val="24"/>
          <w:lang w:val="it-IT"/>
        </w:rPr>
        <w:t>Blomquist</w:t>
      </w:r>
      <w:proofErr w:type="spellEnd"/>
      <w:r w:rsidRPr="00E32DF2">
        <w:rPr>
          <w:sz w:val="24"/>
          <w:szCs w:val="24"/>
          <w:lang w:val="it-IT"/>
        </w:rPr>
        <w:t xml:space="preserve"> c. Rolex SA </w:t>
      </w:r>
      <w:proofErr w:type="spellStart"/>
      <w:r w:rsidRPr="00E32DF2">
        <w:rPr>
          <w:sz w:val="24"/>
          <w:szCs w:val="24"/>
          <w:lang w:val="it-IT"/>
        </w:rPr>
        <w:t>Manufature</w:t>
      </w:r>
      <w:proofErr w:type="spellEnd"/>
      <w:r w:rsidRPr="00E32DF2">
        <w:rPr>
          <w:sz w:val="24"/>
          <w:szCs w:val="24"/>
          <w:lang w:val="it-IT"/>
        </w:rPr>
        <w:t xml:space="preserve"> del </w:t>
      </w:r>
      <w:proofErr w:type="spellStart"/>
      <w:r w:rsidRPr="00E32DF2">
        <w:rPr>
          <w:sz w:val="24"/>
          <w:szCs w:val="24"/>
          <w:lang w:val="it-IT"/>
        </w:rPr>
        <w:t>Montres</w:t>
      </w:r>
      <w:proofErr w:type="spellEnd"/>
      <w:r w:rsidRPr="00E32DF2">
        <w:rPr>
          <w:sz w:val="24"/>
          <w:szCs w:val="24"/>
          <w:lang w:val="it-IT"/>
        </w:rPr>
        <w:t xml:space="preserve"> Rolex, </w:t>
      </w:r>
      <w:proofErr w:type="gramStart"/>
      <w:r w:rsidRPr="00E32DF2">
        <w:rPr>
          <w:sz w:val="24"/>
          <w:szCs w:val="24"/>
          <w:lang w:val="it-IT"/>
        </w:rPr>
        <w:t>caso  «</w:t>
      </w:r>
      <w:proofErr w:type="spellStart"/>
      <w:proofErr w:type="gramEnd"/>
      <w:r w:rsidRPr="00E32DF2">
        <w:rPr>
          <w:sz w:val="24"/>
          <w:szCs w:val="24"/>
          <w:lang w:val="it-IT"/>
        </w:rPr>
        <w:t>Blomquist</w:t>
      </w:r>
      <w:proofErr w:type="spellEnd"/>
      <w:r w:rsidRPr="00E32DF2">
        <w:rPr>
          <w:sz w:val="24"/>
          <w:szCs w:val="24"/>
          <w:lang w:val="it-IT"/>
        </w:rPr>
        <w:t xml:space="preserve">/Rolex» [Corte UE 6 febbraio 2014, causa C-98/13, Martin </w:t>
      </w:r>
      <w:proofErr w:type="spellStart"/>
      <w:r w:rsidRPr="00E32DF2">
        <w:rPr>
          <w:sz w:val="24"/>
          <w:szCs w:val="24"/>
          <w:lang w:val="it-IT"/>
        </w:rPr>
        <w:t>Blomquist</w:t>
      </w:r>
      <w:proofErr w:type="spellEnd"/>
      <w:r w:rsidRPr="00E32DF2">
        <w:rPr>
          <w:sz w:val="24"/>
          <w:szCs w:val="24"/>
          <w:lang w:val="it-IT"/>
        </w:rPr>
        <w:t xml:space="preserve"> c. Rolex SA </w:t>
      </w:r>
      <w:proofErr w:type="spellStart"/>
      <w:r w:rsidRPr="00E32DF2">
        <w:rPr>
          <w:sz w:val="24"/>
          <w:szCs w:val="24"/>
          <w:lang w:val="it-IT"/>
        </w:rPr>
        <w:t>Manufature</w:t>
      </w:r>
      <w:proofErr w:type="spellEnd"/>
      <w:r w:rsidRPr="00E32DF2">
        <w:rPr>
          <w:sz w:val="24"/>
          <w:szCs w:val="24"/>
          <w:lang w:val="it-IT"/>
        </w:rPr>
        <w:t xml:space="preserve"> del </w:t>
      </w:r>
      <w:proofErr w:type="spellStart"/>
      <w:r w:rsidRPr="00E32DF2">
        <w:rPr>
          <w:sz w:val="24"/>
          <w:szCs w:val="24"/>
          <w:lang w:val="it-IT"/>
        </w:rPr>
        <w:t>Montres</w:t>
      </w:r>
      <w:proofErr w:type="spellEnd"/>
      <w:r w:rsidRPr="00E32DF2">
        <w:rPr>
          <w:sz w:val="24"/>
          <w:szCs w:val="24"/>
          <w:lang w:val="it-IT"/>
        </w:rPr>
        <w:t xml:space="preserve"> Rolex, caso «</w:t>
      </w:r>
      <w:proofErr w:type="spellStart"/>
      <w:r w:rsidRPr="00E32DF2">
        <w:rPr>
          <w:sz w:val="24"/>
          <w:szCs w:val="24"/>
          <w:lang w:val="it-IT"/>
        </w:rPr>
        <w:t>Blomquist</w:t>
      </w:r>
      <w:proofErr w:type="spellEnd"/>
      <w:r w:rsidRPr="00E32DF2">
        <w:rPr>
          <w:sz w:val="24"/>
          <w:szCs w:val="24"/>
          <w:lang w:val="it-IT"/>
        </w:rPr>
        <w:t xml:space="preserve">/Rolex», </w:t>
      </w:r>
      <w:proofErr w:type="spellStart"/>
      <w:r w:rsidRPr="00E32DF2">
        <w:rPr>
          <w:sz w:val="24"/>
          <w:szCs w:val="24"/>
          <w:lang w:val="it-IT"/>
        </w:rPr>
        <w:t>parr</w:t>
      </w:r>
      <w:proofErr w:type="spellEnd"/>
      <w:r w:rsidRPr="00E32DF2">
        <w:rPr>
          <w:sz w:val="24"/>
          <w:szCs w:val="24"/>
          <w:lang w:val="it-IT"/>
        </w:rPr>
        <w:t xml:space="preserve">. </w:t>
      </w:r>
      <w:r w:rsidRPr="00B63BD1">
        <w:rPr>
          <w:sz w:val="24"/>
          <w:szCs w:val="24"/>
          <w:lang w:val="it-IT"/>
        </w:rPr>
        <w:t xml:space="preserve">30 ss. che scorge un “uso in commercio” in violazione del diritto di marchio già precedente all’ingresso nel territorio doganale nella vendita </w:t>
      </w:r>
      <w:r w:rsidRPr="00B63BD1">
        <w:rPr>
          <w:sz w:val="24"/>
          <w:szCs w:val="24"/>
          <w:lang w:val="it-IT"/>
        </w:rPr>
        <w:lastRenderedPageBreak/>
        <w:t xml:space="preserve">(accettazione dell’ordine, spedizione e pagamento) da parte di un sito </w:t>
      </w:r>
      <w:r w:rsidRPr="00B63BD1">
        <w:rPr>
          <w:i/>
          <w:sz w:val="24"/>
          <w:szCs w:val="24"/>
          <w:lang w:val="it-IT"/>
        </w:rPr>
        <w:t xml:space="preserve">online </w:t>
      </w:r>
      <w:r w:rsidRPr="00B63BD1">
        <w:rPr>
          <w:sz w:val="24"/>
          <w:szCs w:val="24"/>
          <w:lang w:val="it-IT"/>
        </w:rPr>
        <w:t>a</w:t>
      </w:r>
      <w:r w:rsidRPr="00B63BD1">
        <w:rPr>
          <w:i/>
          <w:sz w:val="24"/>
          <w:szCs w:val="24"/>
          <w:lang w:val="it-IT"/>
        </w:rPr>
        <w:t xml:space="preserve"> </w:t>
      </w:r>
      <w:r w:rsidRPr="00B63BD1">
        <w:rPr>
          <w:sz w:val="24"/>
          <w:szCs w:val="24"/>
          <w:lang w:val="it-IT"/>
        </w:rPr>
        <w:t xml:space="preserve">un acquirente europeo.] </w:t>
      </w:r>
      <w:r w:rsidRPr="007A3A05">
        <w:rPr>
          <w:sz w:val="24"/>
          <w:szCs w:val="24"/>
        </w:rPr>
        <w:t xml:space="preserve">16 b. Closing websites on which see G. </w:t>
      </w:r>
      <w:proofErr w:type="spellStart"/>
      <w:r w:rsidRPr="007A3A05">
        <w:rPr>
          <w:sz w:val="24"/>
          <w:szCs w:val="24"/>
        </w:rPr>
        <w:t>Dinwoodie</w:t>
      </w:r>
      <w:proofErr w:type="spellEnd"/>
      <w:r w:rsidRPr="007A3A05">
        <w:rPr>
          <w:sz w:val="24"/>
          <w:szCs w:val="24"/>
        </w:rPr>
        <w:t xml:space="preserve">, Secondary Liability for Online Trademark Infringement, 37 Colum. J.L. &amp; Arts 463-501, 482 et </w:t>
      </w:r>
      <w:proofErr w:type="spellStart"/>
      <w:r w:rsidRPr="007A3A05">
        <w:rPr>
          <w:sz w:val="24"/>
          <w:szCs w:val="24"/>
        </w:rPr>
        <w:t>seq</w:t>
      </w:r>
      <w:proofErr w:type="spellEnd"/>
      <w:r w:rsidRPr="007A3A05">
        <w:rPr>
          <w:sz w:val="24"/>
          <w:szCs w:val="24"/>
        </w:rPr>
        <w:t xml:space="preserve"> (2014); A. Kur, Secondary Liability for Trademark Infringement on the Internet: The Situation in Germany and the EU, 37 Colum. J.L. &amp; Arts 525-540 (2014) and the UK case Cartier et al v. BSkyB et al [2014] EWHC 3354 (Ch) on the issue whether ISP not connected with infringing websites may be subject to blocking orders (freedom of expression) 3. New modes of use, no likelihood of confusion in registration of domain names as such 17 Reaction: UDRP and ACPA. When the matter is left to courts, these are left to grapple with the fact that the issue is only the signs, not the goods Here the advantage is directing traffic to the website; the same applies to meta-tagging and finally to keyword-advertising which 18 does not fit into the usual scheme of TM infringement </w:t>
      </w:r>
      <w:proofErr w:type="spellStart"/>
      <w:r w:rsidRPr="007A3A05">
        <w:rPr>
          <w:sz w:val="24"/>
          <w:szCs w:val="24"/>
        </w:rPr>
        <w:t>i</w:t>
      </w:r>
      <w:proofErr w:type="spellEnd"/>
      <w:r w:rsidRPr="007A3A05">
        <w:rPr>
          <w:sz w:val="24"/>
          <w:szCs w:val="24"/>
        </w:rPr>
        <w:t xml:space="preserve">. metatags do not designate at all the origin of the goods On </w:t>
      </w:r>
      <w:proofErr w:type="spellStart"/>
      <w:r w:rsidRPr="007A3A05">
        <w:rPr>
          <w:sz w:val="24"/>
          <w:szCs w:val="24"/>
        </w:rPr>
        <w:t>kwywords</w:t>
      </w:r>
      <w:proofErr w:type="spellEnd"/>
      <w:r w:rsidRPr="007A3A05">
        <w:rPr>
          <w:sz w:val="24"/>
          <w:szCs w:val="24"/>
        </w:rPr>
        <w:t xml:space="preserve">, see </w:t>
      </w:r>
      <w:proofErr w:type="spellStart"/>
      <w:r w:rsidRPr="007A3A05">
        <w:rPr>
          <w:sz w:val="24"/>
          <w:szCs w:val="24"/>
        </w:rPr>
        <w:t>Dinwoodie</w:t>
      </w:r>
      <w:proofErr w:type="spellEnd"/>
      <w:r w:rsidRPr="007A3A05">
        <w:rPr>
          <w:sz w:val="24"/>
          <w:szCs w:val="24"/>
        </w:rPr>
        <w:t xml:space="preserve"> v Lemley EU Case law: google, </w:t>
      </w:r>
      <w:proofErr w:type="spellStart"/>
      <w:r w:rsidRPr="007A3A05">
        <w:rPr>
          <w:sz w:val="24"/>
          <w:szCs w:val="24"/>
        </w:rPr>
        <w:t>Interflora</w:t>
      </w:r>
      <w:proofErr w:type="spellEnd"/>
      <w:r w:rsidRPr="007A3A05">
        <w:rPr>
          <w:sz w:val="24"/>
          <w:szCs w:val="24"/>
        </w:rPr>
        <w:t xml:space="preserve"> Weak on third conflict; strict on second 19 A good point: admissibility favours big distribution players, maybe Can we rely on consumer perception, which is malleable? 20 4. Interactivity, 4.1. private and commercial uses, the </w:t>
      </w:r>
      <w:proofErr w:type="gramStart"/>
      <w:r w:rsidRPr="007A3A05">
        <w:rPr>
          <w:sz w:val="24"/>
          <w:szCs w:val="24"/>
        </w:rPr>
        <w:t>in trade</w:t>
      </w:r>
      <w:proofErr w:type="gramEnd"/>
      <w:r w:rsidRPr="007A3A05">
        <w:rPr>
          <w:sz w:val="24"/>
          <w:szCs w:val="24"/>
        </w:rPr>
        <w:t xml:space="preserve"> requirement Maybe what is acceptable in garage sales is not acceptable online German cases: Internet auction I and II; 21 how about statements in blogs and discussion fora? Maybe unfair competition 4.2. freedom of expression, where TM holders want to keep strict control How about 22 TM infringement actions against criticism? With a greater leeway as influence on consumers grows </w:t>
      </w:r>
      <w:r w:rsidRPr="007A3A05">
        <w:rPr>
          <w:b/>
          <w:sz w:val="24"/>
          <w:szCs w:val="24"/>
        </w:rPr>
        <w:t xml:space="preserve">IV Final remarks, </w:t>
      </w:r>
      <w:r w:rsidRPr="007A3A05">
        <w:rPr>
          <w:sz w:val="24"/>
          <w:szCs w:val="24"/>
        </w:rPr>
        <w:t xml:space="preserve">the law’s </w:t>
      </w:r>
      <w:proofErr w:type="gramStart"/>
      <w:r w:rsidRPr="007A3A05">
        <w:rPr>
          <w:sz w:val="24"/>
          <w:szCs w:val="24"/>
        </w:rPr>
        <w:t>task</w:t>
      </w:r>
      <w:proofErr w:type="gramEnd"/>
      <w:r w:rsidRPr="007A3A05">
        <w:rPr>
          <w:sz w:val="24"/>
          <w:szCs w:val="24"/>
        </w:rPr>
        <w:t xml:space="preserve"> </w:t>
      </w:r>
      <w:r>
        <w:t xml:space="preserve"> </w:t>
      </w:r>
    </w:p>
    <w:p w14:paraId="1C3F00C9" w14:textId="77777777" w:rsidR="00523ECC" w:rsidRPr="00523ECC" w:rsidRDefault="00523ECC">
      <w:pPr>
        <w:rPr>
          <w:lang w:val="en-GB"/>
        </w:rPr>
      </w:pPr>
    </w:p>
    <w:sectPr w:rsidR="00523ECC" w:rsidRPr="00523EC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482F4" w14:textId="77777777" w:rsidR="00572FAB" w:rsidRDefault="00572FAB" w:rsidP="00523ECC">
      <w:pPr>
        <w:spacing w:after="0" w:line="240" w:lineRule="auto"/>
      </w:pPr>
      <w:r>
        <w:separator/>
      </w:r>
    </w:p>
  </w:endnote>
  <w:endnote w:type="continuationSeparator" w:id="0">
    <w:p w14:paraId="0A6A7B37" w14:textId="77777777" w:rsidR="00572FAB" w:rsidRDefault="00572FAB" w:rsidP="00523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raphik">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E7B70" w14:textId="77777777" w:rsidR="00572FAB" w:rsidRDefault="00572FAB" w:rsidP="00523ECC">
      <w:pPr>
        <w:spacing w:after="0" w:line="240" w:lineRule="auto"/>
      </w:pPr>
      <w:r>
        <w:separator/>
      </w:r>
    </w:p>
  </w:footnote>
  <w:footnote w:type="continuationSeparator" w:id="0">
    <w:p w14:paraId="2DE81C90" w14:textId="77777777" w:rsidR="00572FAB" w:rsidRDefault="00572FAB" w:rsidP="00523ECC">
      <w:pPr>
        <w:spacing w:after="0" w:line="240" w:lineRule="auto"/>
      </w:pPr>
      <w:r>
        <w:continuationSeparator/>
      </w:r>
    </w:p>
  </w:footnote>
  <w:footnote w:id="1">
    <w:p w14:paraId="33A9417F" w14:textId="77777777" w:rsidR="00523ECC" w:rsidRPr="003F41EC" w:rsidRDefault="00523ECC" w:rsidP="00523ECC">
      <w:pPr>
        <w:pStyle w:val="Testonotaapidipagina"/>
        <w:rPr>
          <w:szCs w:val="18"/>
          <w:lang w:val="en-US"/>
        </w:rPr>
      </w:pPr>
      <w:r w:rsidRPr="0048069A">
        <w:rPr>
          <w:rStyle w:val="Rimandonotaapidipagina"/>
          <w:szCs w:val="18"/>
        </w:rPr>
        <w:footnoteRef/>
      </w:r>
      <w:r w:rsidRPr="003F41EC">
        <w:rPr>
          <w:szCs w:val="18"/>
        </w:rPr>
        <w:t xml:space="preserve"> §§ 123.3, 123.5, 165 e 166. [</w:t>
      </w:r>
      <w:r w:rsidRPr="003F41EC">
        <w:rPr>
          <w:szCs w:val="18"/>
          <w:highlight w:val="yellow"/>
        </w:rPr>
        <w:t xml:space="preserve">manca la questione contraffazione dopo GDO; il tema mi è venuto in mente studiando </w:t>
      </w:r>
      <w:r w:rsidRPr="003F41EC">
        <w:rPr>
          <w:noProof w:val="0"/>
          <w:szCs w:val="18"/>
          <w:highlight w:val="yellow"/>
        </w:rPr>
        <w:t xml:space="preserve">Trib. UE </w:t>
      </w:r>
      <w:r w:rsidRPr="003F41EC">
        <w:rPr>
          <w:szCs w:val="18"/>
          <w:highlight w:val="yellow"/>
        </w:rPr>
        <w:t>14 dicembre 2017 (Nona Sezione), caso «Bet 365», cit., par. 44</w:t>
      </w:r>
      <w:r w:rsidRPr="003F41EC">
        <w:rPr>
          <w:szCs w:val="18"/>
        </w:rPr>
        <w:t xml:space="preserve">] </w:t>
      </w:r>
      <w:r w:rsidRPr="009E3B05">
        <w:t>Per</w:t>
      </w:r>
      <w:r w:rsidRPr="00A16051">
        <w:t xml:space="preserve"> una prima ricognizione del tema v. G. </w:t>
      </w:r>
      <w:r w:rsidRPr="00A16051">
        <w:rPr>
          <w:smallCaps/>
        </w:rPr>
        <w:t>Sironi</w:t>
      </w:r>
      <w:r w:rsidRPr="00A16051">
        <w:t xml:space="preserve">, Social Network </w:t>
      </w:r>
      <w:r w:rsidRPr="00A16051">
        <w:rPr>
          <w:i/>
        </w:rPr>
        <w:t>e segni distintivi</w:t>
      </w:r>
      <w:r w:rsidRPr="00A16051">
        <w:t xml:space="preserve">, </w:t>
      </w:r>
      <w:r>
        <w:rPr>
          <w:i/>
        </w:rPr>
        <w:t xml:space="preserve">AIDA </w:t>
      </w:r>
      <w:r w:rsidRPr="00A16051">
        <w:t xml:space="preserve">2011, 264 ss. e P. </w:t>
      </w:r>
      <w:r w:rsidRPr="00A16051">
        <w:rPr>
          <w:smallCaps/>
        </w:rPr>
        <w:t>Van Eecke</w:t>
      </w:r>
      <w:r w:rsidRPr="00A16051">
        <w:t xml:space="preserve">, </w:t>
      </w:r>
      <w:r w:rsidRPr="00A16051">
        <w:rPr>
          <w:i/>
        </w:rPr>
        <w:t>Online Service Providers and Liability: A Plea for a Balanced Approach</w:t>
      </w:r>
      <w:r w:rsidRPr="00A16051">
        <w:t xml:space="preserve">, in </w:t>
      </w:r>
      <w:r w:rsidRPr="00A16051">
        <w:rPr>
          <w:i/>
        </w:rPr>
        <w:t xml:space="preserve">CMLR </w:t>
      </w:r>
      <w:r w:rsidRPr="00A16051">
        <w:t>2011, 1455 ss.</w:t>
      </w:r>
      <w:r>
        <w:t xml:space="preserve">, </w:t>
      </w:r>
      <w:r w:rsidRPr="00A16051">
        <w:t xml:space="preserve">1474 s. Una ricostruzione generale delle caratteristiche tecniche del </w:t>
      </w:r>
      <w:r w:rsidRPr="00A16051">
        <w:rPr>
          <w:i/>
        </w:rPr>
        <w:t xml:space="preserve">cloud computing </w:t>
      </w:r>
      <w:r w:rsidRPr="00A16051">
        <w:t xml:space="preserve">e delle sue principali implicazioni giuridiche è in </w:t>
      </w:r>
      <w:r w:rsidRPr="00A16051">
        <w:rPr>
          <w:smallCaps/>
        </w:rPr>
        <w:t>D. Lametti</w:t>
      </w:r>
      <w:r w:rsidRPr="00A16051">
        <w:t xml:space="preserve">, The Cloud. </w:t>
      </w:r>
      <w:r w:rsidRPr="0090459D">
        <w:rPr>
          <w:i/>
          <w:lang w:val="en-US"/>
        </w:rPr>
        <w:t>Boundless Digital Potential or Enclosure 3.0</w:t>
      </w:r>
      <w:r w:rsidRPr="0090459D">
        <w:rPr>
          <w:lang w:val="en-US"/>
        </w:rPr>
        <w:t xml:space="preserve">, in 17 </w:t>
      </w:r>
      <w:r w:rsidRPr="0090459D">
        <w:rPr>
          <w:i/>
          <w:lang w:val="en-US"/>
        </w:rPr>
        <w:t>Virginia Journal of Law and Technology</w:t>
      </w:r>
      <w:r w:rsidRPr="0090459D">
        <w:rPr>
          <w:lang w:val="en-US"/>
        </w:rPr>
        <w:t xml:space="preserve"> 2012, 190 ss.</w:t>
      </w:r>
    </w:p>
  </w:footnote>
  <w:footnote w:id="2">
    <w:p w14:paraId="7F4283C5" w14:textId="77777777" w:rsidR="00523ECC" w:rsidRPr="003F41EC" w:rsidRDefault="00523ECC" w:rsidP="00523ECC">
      <w:pPr>
        <w:pStyle w:val="Testonotaapidipagina"/>
        <w:rPr>
          <w:lang w:val="en-GB"/>
        </w:rPr>
      </w:pPr>
      <w:r>
        <w:rPr>
          <w:rStyle w:val="Rimandonotaapidipagina"/>
        </w:rPr>
        <w:footnoteRef/>
      </w:r>
      <w:r w:rsidRPr="003F41EC">
        <w:rPr>
          <w:lang w:val="en-GB"/>
        </w:rPr>
        <w:t xml:space="preserve"> </w:t>
      </w:r>
      <w:r w:rsidRPr="008E0332">
        <w:rPr>
          <w:lang w:val="en-GB"/>
        </w:rPr>
        <w:t xml:space="preserve">Sulla quale v. B. </w:t>
      </w:r>
      <w:r w:rsidRPr="003F41EC">
        <w:rPr>
          <w:smallCaps/>
          <w:lang w:val="en-GB"/>
        </w:rPr>
        <w:t>Gallagher</w:t>
      </w:r>
      <w:r w:rsidRPr="008E0332">
        <w:rPr>
          <w:lang w:val="en-GB"/>
        </w:rPr>
        <w:t xml:space="preserve">, </w:t>
      </w:r>
      <w:r w:rsidRPr="003F41EC">
        <w:rPr>
          <w:i/>
          <w:lang w:val="en-GB"/>
        </w:rPr>
        <w:t>How to turn down a B</w:t>
      </w:r>
      <w:r w:rsidRPr="00372D76">
        <w:rPr>
          <w:i/>
          <w:lang w:val="en-GB"/>
        </w:rPr>
        <w:t>illion Dollars: the Snapchat St</w:t>
      </w:r>
      <w:r w:rsidRPr="003F41EC">
        <w:rPr>
          <w:i/>
          <w:lang w:val="en-GB"/>
        </w:rPr>
        <w:t>ory</w:t>
      </w:r>
      <w:r>
        <w:rPr>
          <w:lang w:val="en-GB"/>
        </w:rPr>
        <w:t xml:space="preserve">, Virgin Books, St Martin’s Press, 2018, </w:t>
      </w:r>
    </w:p>
  </w:footnote>
  <w:footnote w:id="3">
    <w:p w14:paraId="35C60637" w14:textId="77777777" w:rsidR="00523ECC" w:rsidRPr="00461E72" w:rsidRDefault="00523ECC" w:rsidP="00523ECC">
      <w:pPr>
        <w:pStyle w:val="Testonotaapidipagina"/>
        <w:rPr>
          <w:lang w:val="en-GB"/>
        </w:rPr>
      </w:pPr>
      <w:r>
        <w:rPr>
          <w:rStyle w:val="Rimandonotaapidipagina"/>
        </w:rPr>
        <w:footnoteRef/>
      </w:r>
      <w:r w:rsidRPr="003F41EC">
        <w:rPr>
          <w:lang w:val="en-GB"/>
        </w:rPr>
        <w:t xml:space="preserve"> </w:t>
      </w:r>
      <w:r>
        <w:rPr>
          <w:lang w:val="en-GB"/>
        </w:rPr>
        <w:t xml:space="preserve">Ma v. </w:t>
      </w:r>
      <w:r w:rsidRPr="00C62F29">
        <w:rPr>
          <w:szCs w:val="18"/>
          <w:lang w:val="en-US"/>
        </w:rPr>
        <w:t xml:space="preserve">J. </w:t>
      </w:r>
      <w:r w:rsidRPr="00C62F29">
        <w:rPr>
          <w:smallCaps/>
          <w:szCs w:val="18"/>
          <w:lang w:val="en-US"/>
        </w:rPr>
        <w:t>Benkler</w:t>
      </w:r>
      <w:r w:rsidRPr="00C62F29">
        <w:rPr>
          <w:szCs w:val="18"/>
          <w:lang w:val="en-US"/>
        </w:rPr>
        <w:t xml:space="preserve">, </w:t>
      </w:r>
      <w:r w:rsidRPr="00C62F29">
        <w:rPr>
          <w:i/>
          <w:szCs w:val="18"/>
          <w:lang w:val="en-US"/>
        </w:rPr>
        <w:t>Degrees of Freedom, Dimensions of Power</w:t>
      </w:r>
      <w:r w:rsidRPr="00C62F29">
        <w:rPr>
          <w:szCs w:val="18"/>
          <w:lang w:val="en-US"/>
        </w:rPr>
        <w:t xml:space="preserve">, in </w:t>
      </w:r>
      <w:r w:rsidRPr="00C62F29">
        <w:rPr>
          <w:i/>
          <w:szCs w:val="18"/>
          <w:lang w:val="en-US"/>
        </w:rPr>
        <w:t>Daedalus</w:t>
      </w:r>
      <w:r w:rsidRPr="00C62F29">
        <w:rPr>
          <w:szCs w:val="18"/>
          <w:lang w:val="en-US"/>
        </w:rPr>
        <w:t xml:space="preserve"> 2016</w:t>
      </w:r>
      <w:r>
        <w:rPr>
          <w:szCs w:val="18"/>
          <w:lang w:val="en-US"/>
        </w:rPr>
        <w:t>, 18 ss</w:t>
      </w:r>
      <w:r w:rsidRPr="00C62F29">
        <w:rPr>
          <w:szCs w:val="18"/>
          <w:lang w:val="en-US"/>
        </w:rPr>
        <w:t>.</w:t>
      </w:r>
      <w:r>
        <w:rPr>
          <w:szCs w:val="18"/>
          <w:lang w:val="en-US"/>
        </w:rPr>
        <w:t>, sulla crescente importanza “</w:t>
      </w:r>
      <w:r w:rsidRPr="00C62F29">
        <w:rPr>
          <w:szCs w:val="18"/>
          <w:lang w:val="en-US"/>
        </w:rPr>
        <w:t>of passive watching of professionally produced video entertainment online</w:t>
      </w:r>
      <w:r>
        <w:rPr>
          <w:szCs w:val="18"/>
          <w:lang w:val="en-US"/>
        </w:rPr>
        <w:t xml:space="preserve">”. </w:t>
      </w:r>
      <w:r w:rsidRPr="003F41EC">
        <w:rPr>
          <w:szCs w:val="18"/>
        </w:rPr>
        <w:t xml:space="preserve">Per una prospettiva molto preoccupata – e preoccupante – v. </w:t>
      </w:r>
      <w:r w:rsidRPr="003F41EC">
        <w:rPr>
          <w:smallCaps/>
          <w:szCs w:val="18"/>
        </w:rPr>
        <w:t>B</w:t>
      </w:r>
      <w:r>
        <w:rPr>
          <w:smallCaps/>
          <w:szCs w:val="18"/>
        </w:rPr>
        <w:t>.</w:t>
      </w:r>
      <w:r w:rsidRPr="003F41EC">
        <w:rPr>
          <w:smallCaps/>
          <w:szCs w:val="18"/>
        </w:rPr>
        <w:t xml:space="preserve"> Frischmann-E</w:t>
      </w:r>
      <w:r>
        <w:rPr>
          <w:smallCaps/>
          <w:szCs w:val="18"/>
        </w:rPr>
        <w:t>.</w:t>
      </w:r>
      <w:r w:rsidRPr="003F41EC">
        <w:rPr>
          <w:smallCaps/>
          <w:szCs w:val="18"/>
        </w:rPr>
        <w:t xml:space="preserve"> </w:t>
      </w:r>
      <w:r w:rsidRPr="00461E72">
        <w:rPr>
          <w:smallCaps/>
          <w:szCs w:val="18"/>
          <w:lang w:val="en-GB"/>
        </w:rPr>
        <w:t>Selinger</w:t>
      </w:r>
      <w:r w:rsidRPr="00461E72">
        <w:rPr>
          <w:szCs w:val="18"/>
          <w:lang w:val="en-GB"/>
        </w:rPr>
        <w:t xml:space="preserve">, </w:t>
      </w:r>
      <w:r w:rsidRPr="00461E72">
        <w:rPr>
          <w:i/>
          <w:szCs w:val="18"/>
          <w:lang w:val="en-GB"/>
        </w:rPr>
        <w:t>Re-engineering Humanity</w:t>
      </w:r>
      <w:r w:rsidRPr="00461E72">
        <w:rPr>
          <w:szCs w:val="18"/>
          <w:lang w:val="en-GB"/>
        </w:rPr>
        <w:t>, Cambridge University Press, Cambridge, 2018.</w:t>
      </w:r>
    </w:p>
  </w:footnote>
  <w:footnote w:id="4">
    <w:p w14:paraId="08E94A52" w14:textId="77777777" w:rsidR="00523ECC" w:rsidRPr="003F41EC" w:rsidRDefault="00523ECC" w:rsidP="00523ECC">
      <w:pPr>
        <w:pStyle w:val="Testonotaapidipagina"/>
        <w:rPr>
          <w:szCs w:val="18"/>
          <w:lang w:val="en-GB"/>
        </w:rPr>
      </w:pPr>
      <w:r w:rsidRPr="0048069A">
        <w:rPr>
          <w:rStyle w:val="Rimandonotaapidipagina"/>
          <w:szCs w:val="18"/>
        </w:rPr>
        <w:footnoteRef/>
      </w:r>
      <w:r w:rsidRPr="003F41EC">
        <w:rPr>
          <w:szCs w:val="18"/>
          <w:lang w:val="en-GB"/>
        </w:rPr>
        <w:t xml:space="preserve"> D. </w:t>
      </w:r>
      <w:r w:rsidRPr="003F41EC">
        <w:rPr>
          <w:smallCaps/>
          <w:szCs w:val="18"/>
          <w:lang w:val="en-GB"/>
        </w:rPr>
        <w:t>Friedmann</w:t>
      </w:r>
      <w:r w:rsidRPr="003F41EC">
        <w:rPr>
          <w:szCs w:val="18"/>
          <w:lang w:val="en-GB"/>
        </w:rPr>
        <w:t xml:space="preserve">, </w:t>
      </w:r>
      <w:r w:rsidRPr="003F41EC">
        <w:rPr>
          <w:i/>
          <w:szCs w:val="18"/>
          <w:lang w:val="en-GB"/>
        </w:rPr>
        <w:t xml:space="preserve">Trademarks and Social Media. Towards Algorithmic Justice, </w:t>
      </w:r>
      <w:r w:rsidRPr="003F41EC">
        <w:rPr>
          <w:szCs w:val="18"/>
          <w:lang w:val="en-GB"/>
        </w:rPr>
        <w:t xml:space="preserve">Edward Elgar, </w:t>
      </w:r>
      <w:r>
        <w:rPr>
          <w:szCs w:val="18"/>
          <w:lang w:val="en-GB"/>
        </w:rPr>
        <w:t>Cheltenham</w:t>
      </w:r>
      <w:r w:rsidRPr="003F41EC">
        <w:rPr>
          <w:szCs w:val="18"/>
          <w:lang w:val="en-GB"/>
        </w:rPr>
        <w:t>, 2015.</w:t>
      </w:r>
    </w:p>
  </w:footnote>
  <w:footnote w:id="5">
    <w:p w14:paraId="78D4D333" w14:textId="77777777" w:rsidR="00523ECC" w:rsidRPr="0048069A" w:rsidRDefault="00523ECC" w:rsidP="00523ECC">
      <w:pPr>
        <w:pStyle w:val="Testonotaapidipagina"/>
        <w:rPr>
          <w:szCs w:val="18"/>
        </w:rPr>
      </w:pPr>
      <w:r w:rsidRPr="0048069A">
        <w:rPr>
          <w:rStyle w:val="Rimandonotaapidipagina"/>
          <w:szCs w:val="18"/>
        </w:rPr>
        <w:footnoteRef/>
      </w:r>
      <w:r w:rsidRPr="009C4036">
        <w:rPr>
          <w:szCs w:val="18"/>
        </w:rPr>
        <w:t xml:space="preserve"> V. anch</w:t>
      </w:r>
      <w:r w:rsidRPr="0048069A">
        <w:rPr>
          <w:szCs w:val="18"/>
        </w:rPr>
        <w:t xml:space="preserve">e per maggiori particolare D. </w:t>
      </w:r>
      <w:r w:rsidRPr="0048069A">
        <w:rPr>
          <w:smallCaps/>
          <w:szCs w:val="18"/>
        </w:rPr>
        <w:t>Friedmann</w:t>
      </w:r>
      <w:r w:rsidRPr="0048069A">
        <w:rPr>
          <w:szCs w:val="18"/>
        </w:rPr>
        <w:t xml:space="preserve">, </w:t>
      </w:r>
      <w:r w:rsidRPr="0048069A">
        <w:rPr>
          <w:i/>
          <w:szCs w:val="18"/>
        </w:rPr>
        <w:t>Trademarks and Social Media</w:t>
      </w:r>
      <w:r w:rsidRPr="0048069A">
        <w:rPr>
          <w:szCs w:val="18"/>
        </w:rPr>
        <w:t>, cit., 92 ss., 223, 303 ss.</w:t>
      </w:r>
    </w:p>
  </w:footnote>
  <w:footnote w:id="6">
    <w:p w14:paraId="17B73A33" w14:textId="77777777" w:rsidR="00523ECC" w:rsidRPr="00461E72" w:rsidRDefault="00523ECC" w:rsidP="00523ECC">
      <w:pPr>
        <w:pStyle w:val="Testonotaapidipagina"/>
        <w:rPr>
          <w:szCs w:val="18"/>
          <w:lang w:val="en-GB"/>
        </w:rPr>
      </w:pPr>
      <w:r w:rsidRPr="0048069A">
        <w:rPr>
          <w:rStyle w:val="Rimandonotaapidipagina"/>
          <w:szCs w:val="18"/>
        </w:rPr>
        <w:footnoteRef/>
      </w:r>
      <w:r w:rsidRPr="003F41EC">
        <w:rPr>
          <w:szCs w:val="18"/>
          <w:lang w:val="en-GB"/>
        </w:rPr>
        <w:t xml:space="preserve"> A. </w:t>
      </w:r>
      <w:r w:rsidRPr="003F41EC">
        <w:rPr>
          <w:smallCaps/>
          <w:szCs w:val="18"/>
          <w:lang w:val="en-GB"/>
        </w:rPr>
        <w:t>Kur</w:t>
      </w:r>
      <w:r w:rsidRPr="003F41EC">
        <w:rPr>
          <w:szCs w:val="18"/>
          <w:lang w:val="en-GB"/>
        </w:rPr>
        <w:t xml:space="preserve">, </w:t>
      </w:r>
      <w:r w:rsidRPr="003F41EC">
        <w:rPr>
          <w:i/>
          <w:szCs w:val="18"/>
          <w:lang w:val="en-GB"/>
        </w:rPr>
        <w:t>Brand Symbols, the Consumer, and the Internet</w:t>
      </w:r>
      <w:r w:rsidRPr="003F41EC">
        <w:rPr>
          <w:szCs w:val="18"/>
          <w:lang w:val="en-GB"/>
        </w:rPr>
        <w:t>, Max Planck Institute for Innovation and Competition Research, Paper No, 16-01.</w:t>
      </w:r>
      <w:r>
        <w:rPr>
          <w:szCs w:val="18"/>
          <w:lang w:val="en-GB"/>
        </w:rPr>
        <w:t xml:space="preserve"> </w:t>
      </w:r>
      <w:r w:rsidRPr="003F41EC">
        <w:rPr>
          <w:szCs w:val="18"/>
        </w:rPr>
        <w:t xml:space="preserve">In un prospettiva convergente, anche se più ampia, </w:t>
      </w:r>
      <w:r w:rsidRPr="003F41EC">
        <w:rPr>
          <w:smallCaps/>
          <w:szCs w:val="18"/>
        </w:rPr>
        <w:t>B</w:t>
      </w:r>
      <w:r>
        <w:rPr>
          <w:smallCaps/>
          <w:szCs w:val="18"/>
        </w:rPr>
        <w:t>.</w:t>
      </w:r>
      <w:r w:rsidRPr="003F41EC">
        <w:rPr>
          <w:smallCaps/>
          <w:szCs w:val="18"/>
        </w:rPr>
        <w:t xml:space="preserve"> Frischmann-E</w:t>
      </w:r>
      <w:r>
        <w:rPr>
          <w:smallCaps/>
          <w:szCs w:val="18"/>
        </w:rPr>
        <w:t>.</w:t>
      </w:r>
      <w:r w:rsidRPr="003F41EC">
        <w:rPr>
          <w:smallCaps/>
          <w:szCs w:val="18"/>
        </w:rPr>
        <w:t xml:space="preserve"> </w:t>
      </w:r>
      <w:r w:rsidRPr="00461E72">
        <w:rPr>
          <w:smallCaps/>
          <w:szCs w:val="18"/>
          <w:lang w:val="en-GB"/>
        </w:rPr>
        <w:t>Selinger</w:t>
      </w:r>
      <w:r w:rsidRPr="00461E72">
        <w:rPr>
          <w:szCs w:val="18"/>
          <w:lang w:val="en-GB"/>
        </w:rPr>
        <w:t xml:space="preserve">, </w:t>
      </w:r>
      <w:r w:rsidRPr="00461E72">
        <w:rPr>
          <w:i/>
          <w:szCs w:val="18"/>
          <w:lang w:val="en-GB"/>
        </w:rPr>
        <w:t>Re-engineering Humanity</w:t>
      </w:r>
      <w:r w:rsidRPr="00461E72">
        <w:rPr>
          <w:szCs w:val="18"/>
          <w:lang w:val="en-GB"/>
        </w:rPr>
        <w:t>, cit.</w:t>
      </w:r>
    </w:p>
  </w:footnote>
  <w:footnote w:id="7">
    <w:p w14:paraId="6B4074F1" w14:textId="77777777" w:rsidR="00523ECC" w:rsidRPr="003F41EC" w:rsidRDefault="00523ECC" w:rsidP="00523ECC">
      <w:pPr>
        <w:pStyle w:val="Testonotaapidipagina"/>
        <w:rPr>
          <w:szCs w:val="18"/>
          <w:lang w:val="en-GB"/>
        </w:rPr>
      </w:pPr>
      <w:r w:rsidRPr="0048069A">
        <w:rPr>
          <w:rStyle w:val="Rimandonotaapidipagina"/>
          <w:szCs w:val="18"/>
        </w:rPr>
        <w:footnoteRef/>
      </w:r>
      <w:r w:rsidRPr="003F41EC">
        <w:rPr>
          <w:szCs w:val="18"/>
          <w:lang w:val="en-GB"/>
        </w:rPr>
        <w:t xml:space="preserve"> A. </w:t>
      </w:r>
      <w:r w:rsidRPr="003F41EC">
        <w:rPr>
          <w:smallCaps/>
          <w:szCs w:val="18"/>
          <w:lang w:val="en-GB"/>
        </w:rPr>
        <w:t>Kur</w:t>
      </w:r>
      <w:r w:rsidRPr="003F41EC">
        <w:rPr>
          <w:szCs w:val="18"/>
          <w:lang w:val="en-GB"/>
        </w:rPr>
        <w:t xml:space="preserve">, </w:t>
      </w:r>
      <w:r w:rsidRPr="003F41EC">
        <w:rPr>
          <w:i/>
          <w:szCs w:val="18"/>
          <w:lang w:val="en-GB"/>
        </w:rPr>
        <w:t>Brand Symbols, the Consumer, and the Internet</w:t>
      </w:r>
      <w:r w:rsidRPr="003F41EC">
        <w:rPr>
          <w:szCs w:val="18"/>
          <w:lang w:val="en-GB"/>
        </w:rPr>
        <w:t>, cit., 4 e 8.</w:t>
      </w:r>
    </w:p>
  </w:footnote>
  <w:footnote w:id="8">
    <w:p w14:paraId="22D32728" w14:textId="77777777" w:rsidR="00523ECC" w:rsidRPr="001B1E75" w:rsidRDefault="00523ECC" w:rsidP="00523ECC">
      <w:pPr>
        <w:pStyle w:val="Testonotaapidipagina"/>
        <w:rPr>
          <w:szCs w:val="18"/>
          <w:lang w:val="en-US"/>
        </w:rPr>
      </w:pPr>
      <w:r w:rsidRPr="0048069A">
        <w:rPr>
          <w:rStyle w:val="Rimandonotaapidipagina"/>
          <w:szCs w:val="18"/>
        </w:rPr>
        <w:footnoteRef/>
      </w:r>
      <w:r w:rsidRPr="0048069A">
        <w:rPr>
          <w:szCs w:val="18"/>
        </w:rPr>
        <w:t xml:space="preserve"> In questo senso già </w:t>
      </w:r>
      <w:r w:rsidRPr="0048069A">
        <w:rPr>
          <w:bCs/>
          <w:szCs w:val="18"/>
        </w:rPr>
        <w:t xml:space="preserve">L. </w:t>
      </w:r>
      <w:r w:rsidRPr="0048069A">
        <w:rPr>
          <w:bCs/>
          <w:smallCaps/>
          <w:szCs w:val="18"/>
        </w:rPr>
        <w:t>Lessig</w:t>
      </w:r>
      <w:r w:rsidRPr="0048069A">
        <w:rPr>
          <w:bCs/>
          <w:szCs w:val="18"/>
        </w:rPr>
        <w:t xml:space="preserve">, </w:t>
      </w:r>
      <w:r w:rsidRPr="0048069A">
        <w:rPr>
          <w:bCs/>
          <w:i/>
          <w:szCs w:val="18"/>
        </w:rPr>
        <w:t xml:space="preserve">Remix. </w:t>
      </w:r>
      <w:r w:rsidRPr="003F41EC">
        <w:rPr>
          <w:bCs/>
          <w:i/>
          <w:szCs w:val="18"/>
          <w:lang w:val="en-GB"/>
        </w:rPr>
        <w:t xml:space="preserve">Making Art and Commerce Thrive in the Hybrid Economy, </w:t>
      </w:r>
      <w:r w:rsidRPr="003F41EC">
        <w:rPr>
          <w:bCs/>
          <w:szCs w:val="18"/>
          <w:lang w:val="en-GB"/>
        </w:rPr>
        <w:t xml:space="preserve">The Penguin Press, 2008, 213 ss. </w:t>
      </w:r>
      <w:r w:rsidRPr="0048069A">
        <w:rPr>
          <w:bCs/>
          <w:szCs w:val="18"/>
        </w:rPr>
        <w:t xml:space="preserve">Per profili particolari sia consentito rinviare anche al mio </w:t>
      </w:r>
      <w:r w:rsidRPr="0048069A">
        <w:rPr>
          <w:i/>
          <w:szCs w:val="18"/>
        </w:rPr>
        <w:t>Le utilizzazioni libere dell’IP nei social network</w:t>
      </w:r>
      <w:r w:rsidRPr="0048069A">
        <w:rPr>
          <w:szCs w:val="18"/>
        </w:rPr>
        <w:t xml:space="preserve">, in </w:t>
      </w:r>
      <w:r w:rsidRPr="0048069A">
        <w:rPr>
          <w:i/>
          <w:szCs w:val="18"/>
        </w:rPr>
        <w:t xml:space="preserve">AIDA </w:t>
      </w:r>
      <w:r w:rsidRPr="0048069A">
        <w:rPr>
          <w:szCs w:val="18"/>
        </w:rPr>
        <w:t>2011, 295 ss.</w:t>
      </w:r>
      <w:r>
        <w:rPr>
          <w:szCs w:val="18"/>
        </w:rPr>
        <w:t xml:space="preserve"> Una visione eccessivamente ottimistica dell’evoluzione del consumatore in direzione di una maggiore consapevolezza, innescata dalle interazioni in rete fra pubblico e titolari dei marchi, è in </w:t>
      </w:r>
      <w:r w:rsidRPr="003F41EC">
        <w:rPr>
          <w:smallCaps/>
          <w:szCs w:val="18"/>
        </w:rPr>
        <w:t>G.W. Austin</w:t>
      </w:r>
      <w:r w:rsidRPr="003F41EC">
        <w:rPr>
          <w:szCs w:val="18"/>
        </w:rPr>
        <w:t xml:space="preserve">, </w:t>
      </w:r>
      <w:r w:rsidRPr="003F41EC">
        <w:rPr>
          <w:i/>
          <w:szCs w:val="18"/>
        </w:rPr>
        <w:t>Trademarks and the Burdened Imagination,</w:t>
      </w:r>
      <w:r w:rsidRPr="003F41EC">
        <w:rPr>
          <w:szCs w:val="18"/>
        </w:rPr>
        <w:t xml:space="preserve"> in 69 </w:t>
      </w:r>
      <w:r w:rsidRPr="003F41EC">
        <w:rPr>
          <w:i/>
          <w:szCs w:val="18"/>
        </w:rPr>
        <w:t xml:space="preserve">Brook. </w:t>
      </w:r>
      <w:r w:rsidRPr="001B1E75">
        <w:rPr>
          <w:i/>
          <w:szCs w:val="18"/>
          <w:lang w:val="en-US"/>
        </w:rPr>
        <w:t>L Rev.</w:t>
      </w:r>
      <w:r w:rsidRPr="001B1E75">
        <w:rPr>
          <w:szCs w:val="18"/>
          <w:lang w:val="en-US"/>
        </w:rPr>
        <w:t>2004, 827 ss., in particolare 913 ss.</w:t>
      </w:r>
    </w:p>
  </w:footnote>
  <w:footnote w:id="9">
    <w:p w14:paraId="1991E8B3" w14:textId="77777777" w:rsidR="00523ECC" w:rsidRPr="003F41EC" w:rsidRDefault="00523ECC" w:rsidP="00523ECC">
      <w:pPr>
        <w:spacing w:after="0" w:line="240" w:lineRule="auto"/>
        <w:ind w:firstLine="284"/>
        <w:jc w:val="both"/>
        <w:rPr>
          <w:rFonts w:ascii="Times New Roman" w:hAnsi="Times New Roman" w:cs="Times New Roman"/>
          <w:sz w:val="18"/>
          <w:szCs w:val="18"/>
          <w:lang w:val="en-GB"/>
        </w:rPr>
      </w:pPr>
      <w:r w:rsidRPr="0048069A">
        <w:rPr>
          <w:rStyle w:val="Rimandonotaapidipagina"/>
          <w:rFonts w:ascii="Times New Roman" w:hAnsi="Times New Roman" w:cs="Times New Roman"/>
          <w:sz w:val="18"/>
          <w:szCs w:val="18"/>
        </w:rPr>
        <w:footnoteRef/>
      </w:r>
      <w:r w:rsidRPr="001B1E75">
        <w:rPr>
          <w:rFonts w:ascii="Times New Roman" w:hAnsi="Times New Roman" w:cs="Times New Roman"/>
          <w:smallCaps/>
          <w:sz w:val="18"/>
          <w:szCs w:val="18"/>
          <w:lang w:val="en-US"/>
        </w:rPr>
        <w:t xml:space="preserve"> V. </w:t>
      </w:r>
      <w:r w:rsidRPr="001B1E75">
        <w:rPr>
          <w:rFonts w:ascii="Times New Roman" w:hAnsi="Times New Roman" w:cs="Times New Roman"/>
          <w:sz w:val="18"/>
          <w:szCs w:val="18"/>
          <w:lang w:val="en-US"/>
        </w:rPr>
        <w:t>già</w:t>
      </w:r>
      <w:r w:rsidRPr="001B1E75">
        <w:rPr>
          <w:rFonts w:ascii="Times New Roman" w:hAnsi="Times New Roman" w:cs="Times New Roman"/>
          <w:smallCaps/>
          <w:sz w:val="18"/>
          <w:szCs w:val="18"/>
          <w:lang w:val="en-US"/>
        </w:rPr>
        <w:t xml:space="preserve"> V. Mayer-Schönberger-K. </w:t>
      </w:r>
      <w:r w:rsidRPr="003F41EC">
        <w:rPr>
          <w:rFonts w:ascii="Times New Roman" w:hAnsi="Times New Roman" w:cs="Times New Roman"/>
          <w:smallCaps/>
          <w:sz w:val="18"/>
          <w:szCs w:val="18"/>
          <w:lang w:val="en-GB"/>
        </w:rPr>
        <w:t>Kukier</w:t>
      </w:r>
      <w:r w:rsidRPr="003F41EC">
        <w:rPr>
          <w:rFonts w:ascii="Times New Roman" w:hAnsi="Times New Roman" w:cs="Times New Roman"/>
          <w:sz w:val="18"/>
          <w:szCs w:val="18"/>
          <w:lang w:val="en-GB"/>
        </w:rPr>
        <w:t xml:space="preserve">, </w:t>
      </w:r>
      <w:r w:rsidRPr="003F41EC">
        <w:rPr>
          <w:rFonts w:ascii="Times New Roman" w:hAnsi="Times New Roman" w:cs="Times New Roman"/>
          <w:i/>
          <w:sz w:val="18"/>
          <w:szCs w:val="18"/>
          <w:lang w:val="en-GB"/>
        </w:rPr>
        <w:t>Big Data. A Revolution that Will Transform How we Live, Work and Think</w:t>
      </w:r>
      <w:r w:rsidRPr="003F41EC">
        <w:rPr>
          <w:rFonts w:ascii="Times New Roman" w:hAnsi="Times New Roman" w:cs="Times New Roman"/>
          <w:sz w:val="18"/>
          <w:szCs w:val="18"/>
          <w:lang w:val="en-GB"/>
        </w:rPr>
        <w:t>, Eamon Dolan, 2013.</w:t>
      </w:r>
      <w:r>
        <w:rPr>
          <w:rFonts w:ascii="Times New Roman" w:hAnsi="Times New Roman" w:cs="Times New Roman"/>
          <w:sz w:val="18"/>
          <w:szCs w:val="18"/>
          <w:lang w:val="en-GB"/>
        </w:rPr>
        <w:t xml:space="preserve"> Più di recente v. </w:t>
      </w:r>
      <w:r w:rsidRPr="003F41EC">
        <w:rPr>
          <w:rFonts w:ascii="Times New Roman" w:hAnsi="Times New Roman" w:cs="Times New Roman"/>
          <w:smallCaps/>
          <w:sz w:val="18"/>
          <w:szCs w:val="18"/>
          <w:lang w:val="en-GB"/>
        </w:rPr>
        <w:t>J. Cohen</w:t>
      </w:r>
      <w:r w:rsidRPr="003F41EC">
        <w:rPr>
          <w:rFonts w:ascii="Times New Roman" w:hAnsi="Times New Roman" w:cs="Times New Roman"/>
          <w:sz w:val="18"/>
          <w:szCs w:val="18"/>
          <w:lang w:val="en-GB"/>
        </w:rPr>
        <w:t xml:space="preserve">, </w:t>
      </w:r>
      <w:r w:rsidRPr="003F41EC">
        <w:rPr>
          <w:rFonts w:ascii="Times New Roman" w:hAnsi="Times New Roman" w:cs="Times New Roman"/>
          <w:i/>
          <w:sz w:val="18"/>
          <w:szCs w:val="18"/>
          <w:lang w:val="en-GB"/>
        </w:rPr>
        <w:t>Law for the Platform Economy</w:t>
      </w:r>
      <w:r w:rsidRPr="003F41EC">
        <w:rPr>
          <w:rFonts w:ascii="Times New Roman" w:hAnsi="Times New Roman" w:cs="Times New Roman"/>
          <w:sz w:val="18"/>
          <w:szCs w:val="18"/>
          <w:lang w:val="en-GB"/>
        </w:rPr>
        <w:t xml:space="preserve">, </w:t>
      </w:r>
      <w:r>
        <w:rPr>
          <w:rFonts w:ascii="Times New Roman" w:hAnsi="Times New Roman" w:cs="Times New Roman"/>
          <w:sz w:val="18"/>
          <w:szCs w:val="18"/>
          <w:lang w:val="en-GB"/>
        </w:rPr>
        <w:t xml:space="preserve">in </w:t>
      </w:r>
      <w:r w:rsidRPr="003F41EC">
        <w:rPr>
          <w:rFonts w:ascii="Times New Roman" w:hAnsi="Times New Roman" w:cs="Times New Roman"/>
          <w:sz w:val="18"/>
          <w:szCs w:val="18"/>
          <w:lang w:val="en-GB"/>
        </w:rPr>
        <w:t xml:space="preserve">51 </w:t>
      </w:r>
      <w:r w:rsidRPr="003F41EC">
        <w:rPr>
          <w:rFonts w:ascii="Times New Roman" w:hAnsi="Times New Roman" w:cs="Times New Roman"/>
          <w:i/>
          <w:sz w:val="18"/>
          <w:szCs w:val="18"/>
          <w:lang w:val="en-GB"/>
        </w:rPr>
        <w:t>U.C. Davis L. Rev.</w:t>
      </w:r>
      <w:r w:rsidRPr="003F41EC">
        <w:rPr>
          <w:rFonts w:ascii="Times New Roman" w:hAnsi="Times New Roman" w:cs="Times New Roman"/>
          <w:sz w:val="18"/>
          <w:szCs w:val="18"/>
          <w:lang w:val="en-GB"/>
        </w:rPr>
        <w:t xml:space="preserve"> 2017, 133 ff.</w:t>
      </w:r>
      <w:r>
        <w:rPr>
          <w:rFonts w:ascii="Times New Roman" w:hAnsi="Times New Roman" w:cs="Times New Roman"/>
          <w:sz w:val="18"/>
          <w:szCs w:val="18"/>
          <w:lang w:val="en-GB"/>
        </w:rPr>
        <w:t xml:space="preserve"> </w:t>
      </w:r>
    </w:p>
  </w:footnote>
  <w:footnote w:id="10">
    <w:p w14:paraId="0D98D33A" w14:textId="77777777" w:rsidR="00523ECC" w:rsidRPr="003F41EC" w:rsidRDefault="00523ECC" w:rsidP="00523ECC">
      <w:pPr>
        <w:pStyle w:val="Testonotaapidipagina"/>
        <w:rPr>
          <w:szCs w:val="18"/>
          <w:lang w:val="en-GB"/>
        </w:rPr>
      </w:pPr>
      <w:r w:rsidRPr="0048069A">
        <w:rPr>
          <w:rStyle w:val="Rimandonotaapidipagina"/>
          <w:szCs w:val="18"/>
        </w:rPr>
        <w:footnoteRef/>
      </w:r>
      <w:r w:rsidRPr="003F41EC">
        <w:rPr>
          <w:szCs w:val="18"/>
          <w:lang w:val="en-GB"/>
        </w:rPr>
        <w:t xml:space="preserve"> D. </w:t>
      </w:r>
      <w:r w:rsidRPr="003F41EC">
        <w:rPr>
          <w:smallCaps/>
          <w:szCs w:val="18"/>
          <w:lang w:val="en-GB"/>
        </w:rPr>
        <w:t>Friedmann</w:t>
      </w:r>
      <w:r w:rsidRPr="003F41EC">
        <w:rPr>
          <w:szCs w:val="18"/>
          <w:lang w:val="en-GB"/>
        </w:rPr>
        <w:t xml:space="preserve">, </w:t>
      </w:r>
      <w:r w:rsidRPr="003F41EC">
        <w:rPr>
          <w:i/>
          <w:szCs w:val="18"/>
          <w:lang w:val="en-GB"/>
        </w:rPr>
        <w:t>Trademarks and Social Media</w:t>
      </w:r>
      <w:r w:rsidRPr="003F41EC">
        <w:rPr>
          <w:szCs w:val="18"/>
          <w:lang w:val="en-GB"/>
        </w:rPr>
        <w:t xml:space="preserve">, cit., 303 ss. </w:t>
      </w:r>
      <w:r w:rsidRPr="0048069A">
        <w:rPr>
          <w:szCs w:val="18"/>
        </w:rPr>
        <w:t xml:space="preserve">La tendenza a trasferire le dispute relative ai marchi ed agli altri diritti di proprietà intellettuale dalle corti ad attori privati trova ampie testimonianze (v. ad es. </w:t>
      </w:r>
      <w:r w:rsidRPr="00A32B93">
        <w:rPr>
          <w:szCs w:val="18"/>
        </w:rPr>
        <w:t xml:space="preserve">M.L. </w:t>
      </w:r>
      <w:r w:rsidRPr="00A32B93">
        <w:rPr>
          <w:smallCaps/>
          <w:szCs w:val="18"/>
        </w:rPr>
        <w:t>Montagnani</w:t>
      </w:r>
      <w:r w:rsidRPr="00A32B93">
        <w:rPr>
          <w:szCs w:val="18"/>
        </w:rPr>
        <w:t xml:space="preserve">, </w:t>
      </w:r>
      <w:r w:rsidRPr="00A32B93">
        <w:rPr>
          <w:i/>
          <w:szCs w:val="18"/>
        </w:rPr>
        <w:t>Internet, contenuti illeciti e responsabilità degli intermediari</w:t>
      </w:r>
      <w:r w:rsidRPr="00A32B93">
        <w:rPr>
          <w:szCs w:val="18"/>
        </w:rPr>
        <w:t>, Egea, Milano, 2018</w:t>
      </w:r>
      <w:r>
        <w:rPr>
          <w:szCs w:val="18"/>
        </w:rPr>
        <w:t xml:space="preserve">, 203 ss., 223 ss.; </w:t>
      </w:r>
      <w:r w:rsidRPr="003F41EC">
        <w:rPr>
          <w:smallCaps/>
          <w:szCs w:val="18"/>
        </w:rPr>
        <w:t>M. Mueller</w:t>
      </w:r>
      <w:r w:rsidRPr="003F41EC">
        <w:rPr>
          <w:szCs w:val="18"/>
        </w:rPr>
        <w:t xml:space="preserve">, </w:t>
      </w:r>
      <w:r w:rsidRPr="003F41EC">
        <w:rPr>
          <w:i/>
          <w:szCs w:val="18"/>
        </w:rPr>
        <w:t>Networks and States. The Global Politics of Internet Governance</w:t>
      </w:r>
      <w:r w:rsidRPr="003F41EC">
        <w:rPr>
          <w:szCs w:val="18"/>
        </w:rPr>
        <w:t xml:space="preserve">, The MIT Press, Cambridge (MA), 2010, 140 ss. e 201 ss.) e riscontri empirici (a partire dall’Uniform Domain Names Dispute Resolution Policy (UDRP) adottata dall’ICANN nel 1999, su cui </w:t>
      </w:r>
      <w:r w:rsidRPr="003F41EC">
        <w:rPr>
          <w:smallCaps/>
          <w:szCs w:val="18"/>
        </w:rPr>
        <w:t xml:space="preserve">F.M. Abbott-Th. </w:t>
      </w:r>
      <w:r w:rsidRPr="003F41EC">
        <w:rPr>
          <w:smallCaps/>
          <w:szCs w:val="18"/>
          <w:lang w:val="en-GB"/>
        </w:rPr>
        <w:t>Cottier-F. Gurry</w:t>
      </w:r>
      <w:r w:rsidRPr="003F41EC">
        <w:rPr>
          <w:szCs w:val="18"/>
          <w:lang w:val="en-GB"/>
        </w:rPr>
        <w:t xml:space="preserve">, </w:t>
      </w:r>
      <w:r w:rsidRPr="003F41EC">
        <w:rPr>
          <w:i/>
          <w:szCs w:val="18"/>
          <w:lang w:val="en-GB"/>
        </w:rPr>
        <w:t>International Intellectual Property</w:t>
      </w:r>
      <w:r w:rsidRPr="003F41EC">
        <w:rPr>
          <w:szCs w:val="18"/>
          <w:lang w:val="en-GB"/>
        </w:rPr>
        <w:t>, cit.,</w:t>
      </w:r>
      <w:r>
        <w:rPr>
          <w:szCs w:val="18"/>
          <w:lang w:val="en-GB"/>
        </w:rPr>
        <w:t xml:space="preserve"> </w:t>
      </w:r>
      <w:r w:rsidRPr="003F41EC">
        <w:rPr>
          <w:szCs w:val="18"/>
          <w:lang w:val="en-GB"/>
        </w:rPr>
        <w:t>501 ss.).</w:t>
      </w:r>
    </w:p>
  </w:footnote>
  <w:footnote w:id="11">
    <w:p w14:paraId="3AEC1463" w14:textId="77777777" w:rsidR="00523ECC" w:rsidRPr="003F41EC" w:rsidRDefault="00523ECC" w:rsidP="00523ECC">
      <w:pPr>
        <w:pStyle w:val="Testonotaapidipagina"/>
        <w:rPr>
          <w:szCs w:val="18"/>
          <w:lang w:val="en-GB"/>
        </w:rPr>
      </w:pPr>
      <w:r w:rsidRPr="0048069A">
        <w:rPr>
          <w:rStyle w:val="Rimandonotaapidipagina"/>
          <w:szCs w:val="18"/>
        </w:rPr>
        <w:footnoteRef/>
      </w:r>
      <w:r w:rsidRPr="003F41EC">
        <w:rPr>
          <w:szCs w:val="18"/>
          <w:lang w:val="en-GB"/>
        </w:rPr>
        <w:t xml:space="preserve"> A. </w:t>
      </w:r>
      <w:r w:rsidRPr="003F41EC">
        <w:rPr>
          <w:smallCaps/>
          <w:szCs w:val="18"/>
          <w:lang w:val="en-GB"/>
        </w:rPr>
        <w:t>Kur</w:t>
      </w:r>
      <w:r w:rsidRPr="003F41EC">
        <w:rPr>
          <w:szCs w:val="18"/>
          <w:lang w:val="en-GB"/>
        </w:rPr>
        <w:t xml:space="preserve">, </w:t>
      </w:r>
      <w:r w:rsidRPr="003F41EC">
        <w:rPr>
          <w:i/>
          <w:szCs w:val="18"/>
          <w:lang w:val="en-GB"/>
        </w:rPr>
        <w:t>Brand Symbols, the Consumer, and the Internet</w:t>
      </w:r>
      <w:r w:rsidRPr="003F41EC">
        <w:rPr>
          <w:szCs w:val="18"/>
          <w:lang w:val="en-GB"/>
        </w:rPr>
        <w:t>, cit.</w:t>
      </w:r>
      <w:r>
        <w:rPr>
          <w:szCs w:val="18"/>
          <w:lang w:val="en-GB"/>
        </w:rPr>
        <w:t xml:space="preserve"> </w:t>
      </w:r>
      <w:r w:rsidRPr="003F41EC">
        <w:rPr>
          <w:szCs w:val="18"/>
        </w:rPr>
        <w:t xml:space="preserve">Per un’analisi economica dell’emersione del </w:t>
      </w:r>
      <w:r w:rsidRPr="003F41EC">
        <w:rPr>
          <w:i/>
          <w:szCs w:val="18"/>
        </w:rPr>
        <w:t xml:space="preserve">surveillance capitalism </w:t>
      </w:r>
      <w:r>
        <w:rPr>
          <w:szCs w:val="18"/>
        </w:rPr>
        <w:t xml:space="preserve">v. </w:t>
      </w:r>
      <w:r w:rsidRPr="003F41EC">
        <w:rPr>
          <w:smallCaps/>
          <w:szCs w:val="18"/>
        </w:rPr>
        <w:t xml:space="preserve">Sh. </w:t>
      </w:r>
      <w:r w:rsidRPr="00610195">
        <w:rPr>
          <w:smallCaps/>
          <w:szCs w:val="18"/>
          <w:lang w:val="en-GB"/>
        </w:rPr>
        <w:t>Zuboff</w:t>
      </w:r>
      <w:r w:rsidRPr="00610195">
        <w:rPr>
          <w:szCs w:val="18"/>
          <w:lang w:val="en-GB"/>
        </w:rPr>
        <w:t xml:space="preserve">, </w:t>
      </w:r>
      <w:r w:rsidRPr="00610195">
        <w:rPr>
          <w:i/>
          <w:szCs w:val="18"/>
          <w:lang w:val="en-GB"/>
        </w:rPr>
        <w:t>Big other: su</w:t>
      </w:r>
      <w:r>
        <w:rPr>
          <w:i/>
          <w:szCs w:val="18"/>
          <w:lang w:val="en-GB"/>
        </w:rPr>
        <w:t>r</w:t>
      </w:r>
      <w:r w:rsidRPr="00610195">
        <w:rPr>
          <w:i/>
          <w:szCs w:val="18"/>
          <w:lang w:val="en-GB"/>
        </w:rPr>
        <w:t>veillance capitalism and the prospects of information civilisation</w:t>
      </w:r>
      <w:r w:rsidRPr="00610195">
        <w:rPr>
          <w:szCs w:val="18"/>
          <w:lang w:val="en-GB"/>
        </w:rPr>
        <w:t xml:space="preserve">, in </w:t>
      </w:r>
      <w:r w:rsidRPr="00610195">
        <w:rPr>
          <w:i/>
          <w:szCs w:val="18"/>
          <w:lang w:val="en-GB"/>
        </w:rPr>
        <w:t>Journal of information technology</w:t>
      </w:r>
      <w:r w:rsidRPr="00610195">
        <w:rPr>
          <w:szCs w:val="18"/>
          <w:lang w:val="en-GB"/>
        </w:rPr>
        <w:t>, 2015, 30, 75 ff.</w:t>
      </w:r>
      <w:r>
        <w:rPr>
          <w:szCs w:val="18"/>
          <w:lang w:val="en-GB"/>
        </w:rPr>
        <w:t xml:space="preserve"> disponibile a </w:t>
      </w:r>
      <w:r w:rsidR="00572FAB">
        <w:fldChar w:fldCharType="begin"/>
      </w:r>
      <w:r w:rsidR="00572FAB" w:rsidRPr="001B1E75">
        <w:rPr>
          <w:lang w:val="en-US"/>
        </w:rPr>
        <w:instrText xml:space="preserve"> HYPERLINK "https://papers.ssrn.com/sol3/papers.cfm?abstract_id=2594754" </w:instrText>
      </w:r>
      <w:r w:rsidR="00572FAB">
        <w:fldChar w:fldCharType="separate"/>
      </w:r>
      <w:r w:rsidRPr="00610195">
        <w:rPr>
          <w:rStyle w:val="Collegamentoipertestuale"/>
          <w:szCs w:val="18"/>
          <w:lang w:val="en-GB"/>
        </w:rPr>
        <w:t>https://papers.ssrn.com/sol3/papers.cfm?abstract_id=2594754</w:t>
      </w:r>
      <w:r w:rsidR="00572FAB">
        <w:rPr>
          <w:rStyle w:val="Collegamentoipertestuale"/>
          <w:szCs w:val="18"/>
          <w:lang w:val="en-GB"/>
        </w:rPr>
        <w:fldChar w:fldCharType="end"/>
      </w:r>
    </w:p>
  </w:footnote>
  <w:footnote w:id="12">
    <w:p w14:paraId="0DD6FC46" w14:textId="77777777" w:rsidR="00523ECC" w:rsidRPr="008E0332" w:rsidRDefault="00523ECC" w:rsidP="00523ECC">
      <w:pPr>
        <w:pStyle w:val="Testonotaapidipagina"/>
        <w:rPr>
          <w:szCs w:val="18"/>
        </w:rPr>
      </w:pPr>
      <w:r w:rsidRPr="0048069A">
        <w:rPr>
          <w:rStyle w:val="Rimandonotaapidipagina"/>
          <w:szCs w:val="18"/>
        </w:rPr>
        <w:footnoteRef/>
      </w:r>
      <w:r w:rsidRPr="0048069A">
        <w:rPr>
          <w:szCs w:val="18"/>
        </w:rPr>
        <w:t xml:space="preserve"> Per la verità, i primi commenti al Regolamento generale (UE) n. 2016/79 sulla protezione dei dati rilevano che le norme nuove sembrano lasciare spazio maggiore e non minore alla disciplina nazionale dei </w:t>
      </w:r>
      <w:r w:rsidRPr="0048069A">
        <w:rPr>
          <w:i/>
          <w:szCs w:val="18"/>
        </w:rPr>
        <w:t>big data</w:t>
      </w:r>
      <w:r w:rsidRPr="0048069A">
        <w:rPr>
          <w:szCs w:val="18"/>
        </w:rPr>
        <w:t xml:space="preserve">: v. V. </w:t>
      </w:r>
      <w:r w:rsidRPr="0048069A">
        <w:rPr>
          <w:smallCaps/>
          <w:szCs w:val="18"/>
        </w:rPr>
        <w:t xml:space="preserve">Mayer-Schönberger-Y. </w:t>
      </w:r>
      <w:r w:rsidRPr="003F41EC">
        <w:rPr>
          <w:smallCaps/>
          <w:szCs w:val="18"/>
          <w:lang w:val="en-GB"/>
        </w:rPr>
        <w:t>Padova</w:t>
      </w:r>
      <w:r w:rsidRPr="003F41EC">
        <w:rPr>
          <w:szCs w:val="18"/>
          <w:lang w:val="en-GB"/>
        </w:rPr>
        <w:t xml:space="preserve">, </w:t>
      </w:r>
      <w:r w:rsidRPr="003F41EC">
        <w:rPr>
          <w:i/>
          <w:szCs w:val="18"/>
          <w:lang w:val="en-GB"/>
        </w:rPr>
        <w:t>Regime Change? Enabling Big Data Through Europe’s new Data Protection Regulation</w:t>
      </w:r>
      <w:r w:rsidRPr="003F41EC">
        <w:rPr>
          <w:szCs w:val="18"/>
          <w:lang w:val="en-GB"/>
        </w:rPr>
        <w:t xml:space="preserve">, in XVII </w:t>
      </w:r>
      <w:r w:rsidRPr="003F41EC">
        <w:rPr>
          <w:i/>
          <w:szCs w:val="18"/>
          <w:lang w:val="en-GB"/>
        </w:rPr>
        <w:t xml:space="preserve">The Columbia Science and Technology Law Review </w:t>
      </w:r>
      <w:r w:rsidRPr="003F41EC">
        <w:rPr>
          <w:szCs w:val="18"/>
          <w:lang w:val="en-GB"/>
        </w:rPr>
        <w:t>2016, 315 ss., a 326 ss.</w:t>
      </w:r>
      <w:r>
        <w:rPr>
          <w:szCs w:val="18"/>
          <w:lang w:val="en-GB"/>
        </w:rPr>
        <w:t xml:space="preserve"> </w:t>
      </w:r>
      <w:r w:rsidRPr="003F41EC">
        <w:rPr>
          <w:szCs w:val="18"/>
        </w:rPr>
        <w:t xml:space="preserve">Il profilo tecnico della regolazione transnazionale dell’attività è affrontato con rigore da </w:t>
      </w:r>
      <w:r w:rsidRPr="003F41EC">
        <w:rPr>
          <w:smallCaps/>
          <w:szCs w:val="18"/>
        </w:rPr>
        <w:t>G. Dinwoodie-R. Dreyfuss-A. Kur</w:t>
      </w:r>
      <w:r w:rsidRPr="003F41EC">
        <w:rPr>
          <w:szCs w:val="18"/>
        </w:rPr>
        <w:t xml:space="preserve">, </w:t>
      </w:r>
      <w:r w:rsidRPr="003F41EC">
        <w:rPr>
          <w:i/>
          <w:szCs w:val="18"/>
        </w:rPr>
        <w:t>The law applicable to secondary liability in intellectual property infringement cases</w:t>
      </w:r>
      <w:r w:rsidRPr="003F41EC">
        <w:rPr>
          <w:szCs w:val="18"/>
        </w:rPr>
        <w:t xml:space="preserve">, in 42 </w:t>
      </w:r>
      <w:r w:rsidRPr="003F41EC">
        <w:rPr>
          <w:i/>
          <w:szCs w:val="18"/>
        </w:rPr>
        <w:t>NYU JILP</w:t>
      </w:r>
      <w:r w:rsidRPr="003F41EC">
        <w:rPr>
          <w:szCs w:val="18"/>
        </w:rPr>
        <w:t xml:space="preserve"> 2009, 201 ss. ed in particolare nella sezione propositiva articolata a 224 ss.</w:t>
      </w:r>
    </w:p>
  </w:footnote>
  <w:footnote w:id="13">
    <w:p w14:paraId="0B98C8E6" w14:textId="77777777" w:rsidR="00523ECC" w:rsidRPr="00FE1ACA" w:rsidRDefault="00523ECC" w:rsidP="00523ECC">
      <w:pPr>
        <w:pStyle w:val="Testonotaapidipagina"/>
        <w:rPr>
          <w:szCs w:val="18"/>
        </w:rPr>
      </w:pPr>
      <w:r w:rsidRPr="0048069A">
        <w:rPr>
          <w:rStyle w:val="Rimandonotaapidipagina"/>
          <w:szCs w:val="18"/>
        </w:rPr>
        <w:footnoteRef/>
      </w:r>
      <w:r w:rsidRPr="0048069A">
        <w:rPr>
          <w:szCs w:val="18"/>
        </w:rPr>
        <w:t xml:space="preserve"> Come già preannunciato molto tempo fa da P. </w:t>
      </w:r>
      <w:r w:rsidRPr="0048069A">
        <w:rPr>
          <w:smallCaps/>
          <w:szCs w:val="18"/>
        </w:rPr>
        <w:t>Spada</w:t>
      </w:r>
      <w:r w:rsidRPr="0048069A">
        <w:rPr>
          <w:szCs w:val="18"/>
        </w:rPr>
        <w:t xml:space="preserve">, Domain names </w:t>
      </w:r>
      <w:r w:rsidRPr="0048069A">
        <w:rPr>
          <w:i/>
          <w:szCs w:val="18"/>
        </w:rPr>
        <w:t>e dominio dei nomi</w:t>
      </w:r>
      <w:r w:rsidRPr="0048069A">
        <w:rPr>
          <w:szCs w:val="18"/>
        </w:rPr>
        <w:t xml:space="preserve">, in </w:t>
      </w:r>
      <w:r w:rsidRPr="0048069A">
        <w:rPr>
          <w:i/>
          <w:szCs w:val="18"/>
        </w:rPr>
        <w:t xml:space="preserve">Riv. dir. civ. </w:t>
      </w:r>
      <w:r w:rsidRPr="0048069A">
        <w:rPr>
          <w:szCs w:val="18"/>
        </w:rPr>
        <w:t xml:space="preserve">2000, I, 713 ss. </w:t>
      </w:r>
      <w:r w:rsidRPr="003F41EC">
        <w:rPr>
          <w:szCs w:val="18"/>
        </w:rPr>
        <w:t xml:space="preserve">In tempi recenti </w:t>
      </w:r>
      <w:r w:rsidRPr="00A82023">
        <w:rPr>
          <w:szCs w:val="18"/>
        </w:rPr>
        <w:t xml:space="preserve">M.L. </w:t>
      </w:r>
      <w:r w:rsidRPr="00A82023">
        <w:rPr>
          <w:smallCaps/>
          <w:szCs w:val="18"/>
        </w:rPr>
        <w:t>Montagnani</w:t>
      </w:r>
      <w:r w:rsidRPr="00A82023">
        <w:rPr>
          <w:szCs w:val="18"/>
        </w:rPr>
        <w:t xml:space="preserve">, </w:t>
      </w:r>
      <w:r w:rsidRPr="00A82023">
        <w:rPr>
          <w:i/>
          <w:szCs w:val="18"/>
        </w:rPr>
        <w:t>Internet, contenuti illeciti e responsabilità degli intermediari</w:t>
      </w:r>
      <w:r>
        <w:rPr>
          <w:szCs w:val="18"/>
        </w:rPr>
        <w:t>, cit.</w:t>
      </w:r>
      <w:r w:rsidRPr="00FE1ACA">
        <w:rPr>
          <w:szCs w:val="18"/>
        </w:rPr>
        <w:t xml:space="preserve">; </w:t>
      </w:r>
      <w:r w:rsidRPr="003F41EC">
        <w:rPr>
          <w:szCs w:val="18"/>
        </w:rPr>
        <w:t xml:space="preserve">D. </w:t>
      </w:r>
      <w:r w:rsidRPr="003F41EC">
        <w:rPr>
          <w:smallCaps/>
          <w:szCs w:val="18"/>
        </w:rPr>
        <w:t>Friedmann</w:t>
      </w:r>
      <w:r w:rsidRPr="003F41EC">
        <w:rPr>
          <w:szCs w:val="18"/>
        </w:rPr>
        <w:t xml:space="preserve">, </w:t>
      </w:r>
      <w:r w:rsidRPr="003F41EC">
        <w:rPr>
          <w:i/>
          <w:szCs w:val="18"/>
        </w:rPr>
        <w:t>Trademarks and Social Media</w:t>
      </w:r>
      <w:r w:rsidRPr="003F41EC">
        <w:rPr>
          <w:szCs w:val="18"/>
        </w:rPr>
        <w:t>, cit., 225 ss.</w:t>
      </w:r>
    </w:p>
  </w:footnote>
  <w:footnote w:id="14">
    <w:p w14:paraId="7F5FCD42" w14:textId="77777777" w:rsidR="00523ECC" w:rsidRPr="003F41EC" w:rsidRDefault="00523ECC" w:rsidP="00523ECC">
      <w:pPr>
        <w:pStyle w:val="Testonotaapidipagina"/>
        <w:rPr>
          <w:szCs w:val="18"/>
          <w:lang w:val="en-GB"/>
        </w:rPr>
      </w:pPr>
      <w:r w:rsidRPr="0048069A">
        <w:rPr>
          <w:rStyle w:val="Rimandonotaapidipagina"/>
          <w:szCs w:val="18"/>
        </w:rPr>
        <w:footnoteRef/>
      </w:r>
      <w:r w:rsidRPr="003F41EC">
        <w:rPr>
          <w:szCs w:val="18"/>
          <w:lang w:val="en-GB"/>
        </w:rPr>
        <w:t xml:space="preserve"> D. </w:t>
      </w:r>
      <w:r w:rsidRPr="003F41EC">
        <w:rPr>
          <w:smallCaps/>
          <w:szCs w:val="18"/>
          <w:lang w:val="en-GB"/>
        </w:rPr>
        <w:t>Friedmann</w:t>
      </w:r>
      <w:r w:rsidRPr="003F41EC">
        <w:rPr>
          <w:szCs w:val="18"/>
          <w:lang w:val="en-GB"/>
        </w:rPr>
        <w:t xml:space="preserve">, </w:t>
      </w:r>
      <w:r w:rsidRPr="003F41EC">
        <w:rPr>
          <w:i/>
          <w:szCs w:val="18"/>
          <w:lang w:val="en-GB"/>
        </w:rPr>
        <w:t>Trademarks and Social Media</w:t>
      </w:r>
      <w:r w:rsidRPr="003F41EC">
        <w:rPr>
          <w:szCs w:val="18"/>
          <w:lang w:val="en-GB"/>
        </w:rPr>
        <w:t>, cit., 274 ss.</w:t>
      </w:r>
    </w:p>
  </w:footnote>
  <w:footnote w:id="15">
    <w:p w14:paraId="1952558A" w14:textId="77777777" w:rsidR="00523ECC" w:rsidRPr="003F41EC" w:rsidRDefault="00523ECC" w:rsidP="00523ECC">
      <w:pPr>
        <w:pStyle w:val="Testonotaapidipagina"/>
        <w:rPr>
          <w:szCs w:val="18"/>
          <w:lang w:val="en-GB"/>
        </w:rPr>
      </w:pPr>
      <w:r w:rsidRPr="0048069A">
        <w:rPr>
          <w:rStyle w:val="Rimandonotaapidipagina"/>
          <w:szCs w:val="18"/>
        </w:rPr>
        <w:footnoteRef/>
      </w:r>
      <w:r w:rsidRPr="0048069A">
        <w:rPr>
          <w:szCs w:val="18"/>
        </w:rPr>
        <w:t xml:space="preserve"> V. rispettivamente i §§ 122, 124, 165.2 e 166.2. Non so</w:t>
      </w:r>
      <w:r>
        <w:rPr>
          <w:szCs w:val="18"/>
        </w:rPr>
        <w:t>tto</w:t>
      </w:r>
      <w:r w:rsidRPr="0048069A">
        <w:rPr>
          <w:szCs w:val="18"/>
        </w:rPr>
        <w:t xml:space="preserve">valuterei la preoccupazione, espressa ad es. da A. </w:t>
      </w:r>
      <w:r w:rsidRPr="0048069A">
        <w:rPr>
          <w:smallCaps/>
          <w:szCs w:val="18"/>
        </w:rPr>
        <w:t>Kur</w:t>
      </w:r>
      <w:r w:rsidRPr="0048069A">
        <w:rPr>
          <w:szCs w:val="18"/>
        </w:rPr>
        <w:t xml:space="preserve">, </w:t>
      </w:r>
      <w:r w:rsidRPr="0048069A">
        <w:rPr>
          <w:i/>
          <w:szCs w:val="18"/>
        </w:rPr>
        <w:t>Brand Symbols, the Consumer, and the Internet</w:t>
      </w:r>
      <w:r w:rsidRPr="0048069A">
        <w:rPr>
          <w:szCs w:val="18"/>
        </w:rPr>
        <w:t xml:space="preserve">, cit., 19, che il “controllo totale” derivante dall’incontro fra neuromarketing e </w:t>
      </w:r>
      <w:r w:rsidRPr="0048069A">
        <w:rPr>
          <w:i/>
          <w:szCs w:val="18"/>
        </w:rPr>
        <w:t xml:space="preserve">social media </w:t>
      </w:r>
      <w:r w:rsidRPr="0048069A">
        <w:rPr>
          <w:szCs w:val="18"/>
        </w:rPr>
        <w:t xml:space="preserve">possa portare ad un’ulteriore involuzione monopolistica della tutela dei segni distintivi. </w:t>
      </w:r>
      <w:r>
        <w:rPr>
          <w:szCs w:val="18"/>
        </w:rPr>
        <w:t xml:space="preserve">È vero che eistono </w:t>
      </w:r>
      <w:r w:rsidRPr="0048069A">
        <w:rPr>
          <w:szCs w:val="18"/>
        </w:rPr>
        <w:t xml:space="preserve">segnali (su cui ad es. </w:t>
      </w:r>
      <w:r w:rsidRPr="0048069A">
        <w:rPr>
          <w:smallCaps/>
          <w:szCs w:val="18"/>
        </w:rPr>
        <w:t>P. Delves Broughton</w:t>
      </w:r>
      <w:r w:rsidRPr="0048069A">
        <w:rPr>
          <w:szCs w:val="18"/>
        </w:rPr>
        <w:t xml:space="preserve">, </w:t>
      </w:r>
      <w:r w:rsidRPr="0048069A">
        <w:rPr>
          <w:i/>
          <w:szCs w:val="18"/>
        </w:rPr>
        <w:t>Viral upstarts wipe the floor with conformists</w:t>
      </w:r>
      <w:r w:rsidRPr="0048069A">
        <w:rPr>
          <w:szCs w:val="18"/>
        </w:rPr>
        <w:t xml:space="preserve">, in </w:t>
      </w:r>
      <w:r w:rsidRPr="0048069A">
        <w:rPr>
          <w:i/>
          <w:szCs w:val="18"/>
        </w:rPr>
        <w:t xml:space="preserve">Financial Times </w:t>
      </w:r>
      <w:r w:rsidRPr="0048069A">
        <w:rPr>
          <w:szCs w:val="18"/>
        </w:rPr>
        <w:t>30 luglio 2016) che sembrano</w:t>
      </w:r>
      <w:r>
        <w:rPr>
          <w:szCs w:val="18"/>
        </w:rPr>
        <w:t xml:space="preserve"> stare</w:t>
      </w:r>
      <w:r w:rsidRPr="0048069A">
        <w:rPr>
          <w:szCs w:val="18"/>
        </w:rPr>
        <w:t xml:space="preserve"> ad indicare che le piccole imprese si vedano aprire spazi importanti per conquistare un loro ruolo approfittando delle rigidità che caratterizzano la comunicazione digitale praticata dai grandi operatori; né mancano esperienze, come quelle di Etsy e di Amazon handmade, che stanno a dimostrare come anche microimprese possano trovare successo operando sotto l’ombrello loro messo a disposizione, a fini, si intende, di lucro, da parte di piattaforme molto grandi.</w:t>
      </w:r>
      <w:r>
        <w:rPr>
          <w:szCs w:val="18"/>
        </w:rPr>
        <w:t xml:space="preserve"> È però anche vero che la concentrazione di potere, non solo di mercato, è una delle caratteristiche della società algoritmica. </w:t>
      </w:r>
      <w:r w:rsidRPr="003F41EC">
        <w:rPr>
          <w:szCs w:val="18"/>
          <w:lang w:val="en-GB"/>
        </w:rPr>
        <w:t xml:space="preserve">V. </w:t>
      </w:r>
      <w:r w:rsidRPr="003F41EC">
        <w:rPr>
          <w:smallCaps/>
          <w:szCs w:val="18"/>
          <w:lang w:val="en-GB"/>
        </w:rPr>
        <w:t>Tim Wu</w:t>
      </w:r>
      <w:r w:rsidRPr="00143920">
        <w:rPr>
          <w:szCs w:val="18"/>
          <w:lang w:val="en-GB"/>
        </w:rPr>
        <w:t xml:space="preserve">, </w:t>
      </w:r>
      <w:r w:rsidRPr="00143920">
        <w:rPr>
          <w:i/>
          <w:szCs w:val="18"/>
          <w:lang w:val="en-GB"/>
        </w:rPr>
        <w:t>The Curse of Bigness</w:t>
      </w:r>
      <w:r w:rsidRPr="00143920">
        <w:rPr>
          <w:szCs w:val="18"/>
          <w:lang w:val="en-GB"/>
        </w:rPr>
        <w:t xml:space="preserve">. </w:t>
      </w:r>
      <w:r w:rsidRPr="00143920">
        <w:rPr>
          <w:i/>
          <w:szCs w:val="18"/>
          <w:lang w:val="en-GB"/>
        </w:rPr>
        <w:t>Antitrust in the New Gilded Age</w:t>
      </w:r>
      <w:r w:rsidRPr="00143920">
        <w:rPr>
          <w:szCs w:val="18"/>
          <w:lang w:val="en-GB"/>
        </w:rPr>
        <w:t>, Columbia Global Reports, 2018</w:t>
      </w:r>
      <w:r>
        <w:rPr>
          <w:szCs w:val="18"/>
          <w:lang w:val="en-GB"/>
        </w:rPr>
        <w:t xml:space="preserve">; </w:t>
      </w:r>
      <w:r w:rsidR="00572FAB">
        <w:fldChar w:fldCharType="begin"/>
      </w:r>
      <w:r w:rsidR="00572FAB" w:rsidRPr="001B1E75">
        <w:rPr>
          <w:lang w:val="en-US"/>
        </w:rPr>
        <w:instrText xml:space="preserve"> HYPERLINK "http://www.hup.harvard.edu/results-list.php?author=21940" </w:instrText>
      </w:r>
      <w:r w:rsidR="00572FAB">
        <w:fldChar w:fldCharType="separate"/>
      </w:r>
      <w:r w:rsidRPr="009C7824">
        <w:rPr>
          <w:rStyle w:val="Collegamentoipertestuale"/>
          <w:rFonts w:ascii="Graphik" w:hAnsi="Graphik"/>
          <w:bCs/>
          <w:smallCaps/>
          <w:color w:val="3F3F3F"/>
          <w:szCs w:val="18"/>
          <w:lang w:val="en-GB"/>
        </w:rPr>
        <w:t>M.R. Patterson</w:t>
      </w:r>
      <w:r w:rsidR="00572FAB">
        <w:rPr>
          <w:rStyle w:val="Collegamentoipertestuale"/>
          <w:rFonts w:ascii="Graphik" w:hAnsi="Graphik"/>
          <w:bCs/>
          <w:smallCaps/>
          <w:color w:val="3F3F3F"/>
          <w:szCs w:val="18"/>
          <w:lang w:val="en-GB"/>
        </w:rPr>
        <w:fldChar w:fldCharType="end"/>
      </w:r>
      <w:r w:rsidRPr="009C7824">
        <w:rPr>
          <w:rFonts w:ascii="Graphik" w:hAnsi="Graphik"/>
          <w:bCs/>
          <w:color w:val="3F3F3F"/>
          <w:szCs w:val="18"/>
          <w:lang w:val="en-GB"/>
        </w:rPr>
        <w:t xml:space="preserve">, </w:t>
      </w:r>
      <w:r w:rsidRPr="009C7824">
        <w:rPr>
          <w:rFonts w:ascii="Graphik" w:hAnsi="Graphik"/>
          <w:i/>
          <w:color w:val="3F3F3F"/>
          <w:szCs w:val="18"/>
          <w:lang w:val="en-GB"/>
        </w:rPr>
        <w:t xml:space="preserve">Antitrust Law in the New Economy. </w:t>
      </w:r>
      <w:r w:rsidRPr="009C7824">
        <w:rPr>
          <w:rFonts w:ascii="Graphik" w:hAnsi="Graphik"/>
          <w:bCs/>
          <w:i/>
          <w:color w:val="3F3F3F"/>
          <w:szCs w:val="18"/>
          <w:lang w:val="en-GB"/>
        </w:rPr>
        <w:t>Google, Yelp, LIBOR, and the Control of Information</w:t>
      </w:r>
      <w:r w:rsidRPr="009C7824">
        <w:rPr>
          <w:rFonts w:ascii="Graphik" w:hAnsi="Graphik"/>
          <w:bCs/>
          <w:color w:val="3F3F3F"/>
          <w:szCs w:val="18"/>
          <w:lang w:val="en-GB"/>
        </w:rPr>
        <w:t xml:space="preserve">, Harvard University Press, Cambridge </w:t>
      </w:r>
      <w:r w:rsidRPr="007E4984">
        <w:rPr>
          <w:bCs/>
          <w:color w:val="3F3F3F"/>
          <w:szCs w:val="18"/>
          <w:lang w:val="en-GB"/>
        </w:rPr>
        <w:t>(Mass.),  2017</w:t>
      </w:r>
      <w:r w:rsidRPr="003F41EC">
        <w:rPr>
          <w:bCs/>
          <w:color w:val="3F3F3F"/>
          <w:szCs w:val="18"/>
          <w:lang w:val="en-GB"/>
        </w:rPr>
        <w:t xml:space="preserve"> ed, anche per indicazioni bibliografiche, il mio </w:t>
      </w:r>
      <w:r w:rsidRPr="007E4984">
        <w:rPr>
          <w:i/>
          <w:szCs w:val="18"/>
          <w:lang w:val="en-GB"/>
        </w:rPr>
        <w:t>The Internet of Things and the Ages of Antitrust</w:t>
      </w:r>
      <w:r w:rsidRPr="007E4984">
        <w:rPr>
          <w:szCs w:val="18"/>
          <w:lang w:val="en-GB"/>
        </w:rPr>
        <w:t xml:space="preserve">, in </w:t>
      </w:r>
      <w:r w:rsidRPr="007E4984">
        <w:rPr>
          <w:i/>
          <w:szCs w:val="18"/>
          <w:lang w:val="en-GB"/>
        </w:rPr>
        <w:t xml:space="preserve">Concorrenza e mercato </w:t>
      </w:r>
      <w:r w:rsidRPr="007E4984">
        <w:rPr>
          <w:szCs w:val="18"/>
          <w:lang w:val="en-GB"/>
        </w:rPr>
        <w:t>2017, 215 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E2746B"/>
    <w:multiLevelType w:val="hybridMultilevel"/>
    <w:tmpl w:val="064001F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5201379"/>
    <w:multiLevelType w:val="hybridMultilevel"/>
    <w:tmpl w:val="F3F8FCE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532"/>
    <w:rsid w:val="001360F2"/>
    <w:rsid w:val="001B1E75"/>
    <w:rsid w:val="001F5839"/>
    <w:rsid w:val="002842D1"/>
    <w:rsid w:val="00423114"/>
    <w:rsid w:val="00523ECC"/>
    <w:rsid w:val="00572FAB"/>
    <w:rsid w:val="0063231D"/>
    <w:rsid w:val="00643F3E"/>
    <w:rsid w:val="00931A21"/>
    <w:rsid w:val="00A36176"/>
    <w:rsid w:val="00A77448"/>
    <w:rsid w:val="00B20532"/>
    <w:rsid w:val="00EC51D0"/>
    <w:rsid w:val="00FD10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19C24"/>
  <w15:chartTrackingRefBased/>
  <w15:docId w15:val="{CC99FB9A-9FA4-4623-B824-7BDBEC602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Footnote text,Footnote,f,Geneva 9,Font: Geneva 9,Boston 10,Char,fn,Schriftart: 9 pt,Schriftart: 10 pt,Schriftart: 8 pt,WB-Fußnotentext,Footnotes,Footnote ak"/>
    <w:basedOn w:val="Normale"/>
    <w:link w:val="TestonotaapidipaginaCarattere"/>
    <w:rsid w:val="00523ECC"/>
    <w:pPr>
      <w:spacing w:before="30" w:after="0" w:line="204" w:lineRule="exact"/>
      <w:ind w:firstLine="284"/>
      <w:jc w:val="both"/>
    </w:pPr>
    <w:rPr>
      <w:rFonts w:ascii="Times New Roman" w:eastAsia="Times New Roman" w:hAnsi="Times New Roman" w:cs="Times New Roman"/>
      <w:noProof/>
      <w:sz w:val="18"/>
      <w:szCs w:val="20"/>
      <w:lang w:eastAsia="it-IT"/>
    </w:rPr>
  </w:style>
  <w:style w:type="character" w:customStyle="1" w:styleId="TestonotaapidipaginaCarattere">
    <w:name w:val="Testo nota a piè di pagina Carattere"/>
    <w:aliases w:val="Footnote text Carattere,Footnote Carattere,f Carattere,Geneva 9 Carattere,Font: Geneva 9 Carattere,Boston 10 Carattere,Char Carattere,fn Carattere,Schriftart: 9 pt Carattere,Schriftart: 10 pt Carattere"/>
    <w:basedOn w:val="Carpredefinitoparagrafo"/>
    <w:link w:val="Testonotaapidipagina"/>
    <w:rsid w:val="00523ECC"/>
    <w:rPr>
      <w:rFonts w:ascii="Times New Roman" w:eastAsia="Times New Roman" w:hAnsi="Times New Roman" w:cs="Times New Roman"/>
      <w:noProof/>
      <w:sz w:val="18"/>
      <w:szCs w:val="20"/>
      <w:lang w:eastAsia="it-IT"/>
    </w:rPr>
  </w:style>
  <w:style w:type="character" w:styleId="Rimandonotaapidipagina">
    <w:name w:val="footnote reference"/>
    <w:aliases w:val="Ref,de nota al pie"/>
    <w:rsid w:val="00523ECC"/>
    <w:rPr>
      <w:vertAlign w:val="superscript"/>
    </w:rPr>
  </w:style>
  <w:style w:type="character" w:styleId="Collegamentoipertestuale">
    <w:name w:val="Hyperlink"/>
    <w:rsid w:val="00523ECC"/>
    <w:rPr>
      <w:color w:val="0000FF"/>
      <w:u w:val="single"/>
    </w:rPr>
  </w:style>
  <w:style w:type="paragraph" w:styleId="Corpotesto">
    <w:name w:val="Body Text"/>
    <w:basedOn w:val="Normale"/>
    <w:link w:val="CorpotestoCarattere1"/>
    <w:rsid w:val="00523ECC"/>
    <w:pPr>
      <w:tabs>
        <w:tab w:val="left" w:pos="255"/>
        <w:tab w:val="left" w:pos="369"/>
        <w:tab w:val="left" w:pos="510"/>
      </w:tabs>
      <w:spacing w:after="0" w:line="339" w:lineRule="exact"/>
      <w:jc w:val="both"/>
    </w:pPr>
    <w:rPr>
      <w:rFonts w:ascii="Times New Roman" w:eastAsia="Times New Roman" w:hAnsi="Times New Roman" w:cs="Times New Roman"/>
      <w:spacing w:val="-2"/>
      <w:sz w:val="27"/>
      <w:szCs w:val="20"/>
      <w:lang w:val="en-GB" w:eastAsia="da-DK"/>
    </w:rPr>
  </w:style>
  <w:style w:type="character" w:customStyle="1" w:styleId="CorpotestoCarattere">
    <w:name w:val="Corpo testo Carattere"/>
    <w:basedOn w:val="Carpredefinitoparagrafo"/>
    <w:uiPriority w:val="99"/>
    <w:semiHidden/>
    <w:rsid w:val="00523ECC"/>
  </w:style>
  <w:style w:type="character" w:customStyle="1" w:styleId="CorpotestoCarattere1">
    <w:name w:val="Corpo testo Carattere1"/>
    <w:basedOn w:val="Carpredefinitoparagrafo"/>
    <w:link w:val="Corpotesto"/>
    <w:rsid w:val="00523ECC"/>
    <w:rPr>
      <w:rFonts w:ascii="Times New Roman" w:eastAsia="Times New Roman" w:hAnsi="Times New Roman" w:cs="Times New Roman"/>
      <w:spacing w:val="-2"/>
      <w:sz w:val="27"/>
      <w:szCs w:val="20"/>
      <w:lang w:val="en-GB" w:eastAsia="da-DK"/>
    </w:rPr>
  </w:style>
  <w:style w:type="paragraph" w:styleId="Paragrafoelenco">
    <w:name w:val="List Paragraph"/>
    <w:basedOn w:val="Normale"/>
    <w:uiPriority w:val="34"/>
    <w:qFormat/>
    <w:rsid w:val="00931A21"/>
    <w:pPr>
      <w:ind w:left="720"/>
      <w:contextualSpacing/>
    </w:pPr>
  </w:style>
  <w:style w:type="character" w:styleId="Menzionenonrisolta">
    <w:name w:val="Unresolved Mention"/>
    <w:basedOn w:val="Carpredefinitoparagrafo"/>
    <w:uiPriority w:val="99"/>
    <w:semiHidden/>
    <w:unhideWhenUsed/>
    <w:rsid w:val="001B1E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607541">
      <w:bodyDiv w:val="1"/>
      <w:marLeft w:val="0"/>
      <w:marRight w:val="0"/>
      <w:marTop w:val="0"/>
      <w:marBottom w:val="0"/>
      <w:divBdr>
        <w:top w:val="none" w:sz="0" w:space="0" w:color="auto"/>
        <w:left w:val="none" w:sz="0" w:space="0" w:color="auto"/>
        <w:bottom w:val="none" w:sz="0" w:space="0" w:color="auto"/>
        <w:right w:val="none" w:sz="0" w:space="0" w:color="auto"/>
      </w:divBdr>
    </w:div>
    <w:div w:id="128484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sand.esvalabs.com/?u=https%3A%2F%2Fus02web.zoom.us%2Fj%2F84764524831&amp;e=6b170c62&amp;h=7397e850&amp;f=n&amp;p=y" TargetMode="External"/><Relationship Id="rId3" Type="http://schemas.openxmlformats.org/officeDocument/2006/relationships/settings" Target="settings.xml"/><Relationship Id="rId7" Type="http://schemas.openxmlformats.org/officeDocument/2006/relationships/hyperlink" Target="https://forms.gle/7VL7dBcgoUXoJuv9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rlsand.esvalabs.com/?u=https%3A%2F%2Fus02web.zoom.us%2Fu%2FkcjaR1Xhbb&amp;e=6b170c62&amp;h=944dee1c&amp;f=n&amp;p=y"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2701</Words>
  <Characters>15399</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Ricolfi</dc:creator>
  <cp:keywords/>
  <dc:description/>
  <cp:lastModifiedBy>Marco Ricolfi</cp:lastModifiedBy>
  <cp:revision>2</cp:revision>
  <dcterms:created xsi:type="dcterms:W3CDTF">2021-02-22T21:50:00Z</dcterms:created>
  <dcterms:modified xsi:type="dcterms:W3CDTF">2021-02-22T21:50:00Z</dcterms:modified>
</cp:coreProperties>
</file>